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FBD13A5" w:rsidR="00E90E49" w:rsidRPr="00CE0424" w:rsidRDefault="00350781" w:rsidP="00E35559">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635224">
        <w:t>98</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47259" w:rsidRPr="00647259">
        <w:rPr>
          <w:sz w:val="32"/>
          <w:szCs w:val="32"/>
        </w:rPr>
        <w:t>1908127</w:t>
      </w:r>
    </w:p>
    <w:p w14:paraId="06CCB2C4" w14:textId="6CB33DDE" w:rsidR="009E1BB6" w:rsidRPr="00CE0424" w:rsidRDefault="005E5DA8" w:rsidP="009E1BB6">
      <w:pPr>
        <w:pStyle w:val="3GPPHeader"/>
      </w:pPr>
      <w:r w:rsidRPr="00AD183D">
        <w:rPr>
          <w:bCs/>
          <w:noProof/>
        </w:rPr>
        <w:t>Prague, CZ, August 26</w:t>
      </w:r>
      <w:r w:rsidRPr="00AD183D">
        <w:rPr>
          <w:bCs/>
          <w:noProof/>
          <w:vertAlign w:val="superscript"/>
        </w:rPr>
        <w:t>th</w:t>
      </w:r>
      <w:r w:rsidRPr="00AD183D">
        <w:rPr>
          <w:bCs/>
          <w:noProof/>
        </w:rPr>
        <w:t xml:space="preserve"> – 30</w:t>
      </w:r>
      <w:r w:rsidRPr="00AD183D">
        <w:rPr>
          <w:bCs/>
          <w:noProof/>
          <w:vertAlign w:val="superscript"/>
        </w:rPr>
        <w:t>th</w:t>
      </w:r>
      <w:r w:rsidRPr="00AD183D">
        <w:rPr>
          <w:bCs/>
          <w:noProof/>
        </w:rPr>
        <w:t>, 2019</w:t>
      </w:r>
    </w:p>
    <w:p w14:paraId="1F4608B5" w14:textId="77777777" w:rsidR="00E90E49" w:rsidRPr="00CE0424" w:rsidRDefault="00E90E49" w:rsidP="00357380">
      <w:pPr>
        <w:pStyle w:val="3GPPHeader"/>
      </w:pPr>
    </w:p>
    <w:p w14:paraId="5CC8B96E" w14:textId="125C6833" w:rsidR="00E90E49" w:rsidRPr="0045645E" w:rsidRDefault="00E90E49" w:rsidP="00311702">
      <w:pPr>
        <w:pStyle w:val="3GPPHeader"/>
        <w:rPr>
          <w:sz w:val="22"/>
          <w:szCs w:val="22"/>
          <w:lang w:val="en-US"/>
        </w:rPr>
      </w:pPr>
      <w:r w:rsidRPr="0045645E">
        <w:rPr>
          <w:sz w:val="22"/>
          <w:szCs w:val="22"/>
          <w:lang w:val="en-US"/>
        </w:rPr>
        <w:t>Agenda Item:</w:t>
      </w:r>
      <w:r w:rsidRPr="0045645E">
        <w:rPr>
          <w:sz w:val="22"/>
          <w:szCs w:val="22"/>
          <w:lang w:val="en-US"/>
        </w:rPr>
        <w:tab/>
      </w:r>
      <w:r w:rsidR="00647259" w:rsidRPr="0045645E">
        <w:rPr>
          <w:sz w:val="22"/>
          <w:szCs w:val="22"/>
          <w:lang w:val="en-US"/>
        </w:rPr>
        <w:t>7.2.6.7</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83082" w14:textId="77777777" w:rsidR="00950F55" w:rsidRDefault="003D3C45" w:rsidP="00EB7AEA">
      <w:pPr>
        <w:pStyle w:val="3GPPHeader"/>
        <w:ind w:left="1620" w:hanging="1620"/>
        <w:rPr>
          <w:sz w:val="22"/>
          <w:szCs w:val="22"/>
        </w:rPr>
      </w:pPr>
      <w:r w:rsidRPr="00930610">
        <w:rPr>
          <w:sz w:val="22"/>
          <w:szCs w:val="22"/>
        </w:rPr>
        <w:t>Title:</w:t>
      </w:r>
      <w:r w:rsidR="00E90E49" w:rsidRPr="00930610">
        <w:rPr>
          <w:sz w:val="22"/>
          <w:szCs w:val="22"/>
        </w:rPr>
        <w:tab/>
      </w:r>
      <w:r w:rsidR="00844384" w:rsidRPr="00930610">
        <w:rPr>
          <w:sz w:val="22"/>
          <w:szCs w:val="22"/>
        </w:rPr>
        <w:t>Other Enhancements to Uplink and Downlink Transmissions for NR URLLC</w:t>
      </w:r>
      <w:r w:rsidR="00EB7AEA" w:rsidRPr="00930610">
        <w:rPr>
          <w:sz w:val="22"/>
          <w:szCs w:val="22"/>
        </w:rPr>
        <w:t xml:space="preserve"> </w:t>
      </w:r>
    </w:p>
    <w:p w14:paraId="63152FD2" w14:textId="342DE789" w:rsidR="00E90E49" w:rsidRPr="00CE0424" w:rsidRDefault="00EB7AEA" w:rsidP="00950F55">
      <w:pPr>
        <w:pStyle w:val="3GPPHeader"/>
        <w:ind w:left="1620" w:firstLine="90"/>
        <w:rPr>
          <w:sz w:val="22"/>
          <w:szCs w:val="22"/>
        </w:rPr>
      </w:pPr>
      <w:bookmarkStart w:id="0" w:name="_GoBack"/>
      <w:bookmarkEnd w:id="0"/>
      <w:r w:rsidRPr="00930610">
        <w:rPr>
          <w:sz w:val="22"/>
          <w:szCs w:val="22"/>
        </w:rPr>
        <w:t>– Response to Incoming LS</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44384">
        <w:rPr>
          <w:sz w:val="22"/>
          <w:szCs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6989B07B" w:rsidR="00477768" w:rsidRPr="00CE0424" w:rsidRDefault="008C13A6" w:rsidP="00CE0424">
      <w:pPr>
        <w:pStyle w:val="BodyText"/>
      </w:pPr>
      <w:r>
        <w:t xml:space="preserve">In this contribution, we discuss the issues related to 4 incoming LS that are relevant to </w:t>
      </w:r>
      <w:proofErr w:type="spellStart"/>
      <w:r>
        <w:t>eURLLC</w:t>
      </w:r>
      <w:proofErr w:type="spellEnd"/>
      <w:r>
        <w:t xml:space="preserve"> and </w:t>
      </w:r>
      <w:proofErr w:type="spellStart"/>
      <w:r>
        <w:t>IIoT</w:t>
      </w:r>
      <w:proofErr w:type="spellEnd"/>
      <w:r>
        <w:t xml:space="preserve"> [1]-[4]. </w:t>
      </w:r>
      <w:r w:rsidR="001F3F46">
        <w:t>Responses to the LS are proposed</w:t>
      </w:r>
      <w:r w:rsidR="00585C0B">
        <w:t>.</w:t>
      </w:r>
    </w:p>
    <w:p w14:paraId="6F368817" w14:textId="7CC02266" w:rsidR="004000E8" w:rsidRPr="00CE0424" w:rsidRDefault="004000E8" w:rsidP="00CE0424">
      <w:pPr>
        <w:pStyle w:val="Heading1"/>
      </w:pPr>
      <w:bookmarkStart w:id="1" w:name="_Ref178064866"/>
      <w:r w:rsidRPr="00CE0424">
        <w:t>Discussion</w:t>
      </w:r>
      <w:bookmarkEnd w:id="1"/>
    </w:p>
    <w:p w14:paraId="1A0FC162" w14:textId="7A1901A5" w:rsidR="00F63950" w:rsidRDefault="00AC2E99" w:rsidP="00F63950">
      <w:pPr>
        <w:pStyle w:val="Heading2"/>
      </w:pPr>
      <w:r>
        <w:t>P</w:t>
      </w:r>
      <w:r w:rsidRPr="00AC2E99">
        <w:t>ropagation delay compensation for reference time information delivery</w:t>
      </w:r>
    </w:p>
    <w:p w14:paraId="482F9D46" w14:textId="04EA95E1" w:rsidR="00EB7AEA" w:rsidRDefault="005E246E" w:rsidP="00CE0424">
      <w:pPr>
        <w:pStyle w:val="BodyText"/>
      </w:pPr>
      <w:r>
        <w:t xml:space="preserve">RAN2 has sent </w:t>
      </w:r>
      <w:proofErr w:type="gramStart"/>
      <w:r>
        <w:t>an</w:t>
      </w:r>
      <w:proofErr w:type="gramEnd"/>
      <w:r>
        <w:t xml:space="preserve"> LS [1] to RAN1 </w:t>
      </w:r>
      <w:r w:rsidR="009D779E">
        <w:t>about p</w:t>
      </w:r>
      <w:r w:rsidR="009D779E" w:rsidRPr="009D779E">
        <w:t>ropagation delay compensation for reference time information delivery</w:t>
      </w:r>
      <w:r w:rsidR="009D779E">
        <w:t>. RAN2 posed two questions to RAN1.</w:t>
      </w:r>
    </w:p>
    <w:p w14:paraId="3F428AA0" w14:textId="77777777" w:rsidR="009D779E" w:rsidRDefault="009D779E" w:rsidP="00CE0424">
      <w:pPr>
        <w:pStyle w:val="BodyText"/>
      </w:pPr>
    </w:p>
    <w:p w14:paraId="73F7776B" w14:textId="45722DD0" w:rsidR="00334A2A" w:rsidRPr="008C4F75" w:rsidRDefault="00DD3E3F" w:rsidP="008C4F75">
      <w:pPr>
        <w:pStyle w:val="Header"/>
        <w:spacing w:after="120"/>
        <w:ind w:left="567"/>
        <w:jc w:val="both"/>
        <w:rPr>
          <w:rFonts w:cs="Arial"/>
          <w:i/>
          <w:color w:val="0070C0"/>
          <w:lang w:eastAsia="zh-CN"/>
        </w:rPr>
      </w:pPr>
      <w:r w:rsidRPr="008C4F75">
        <w:rPr>
          <w:rFonts w:cs="Arial"/>
          <w:i/>
          <w:color w:val="0070C0"/>
        </w:rPr>
        <w:t xml:space="preserve">Q1. </w:t>
      </w:r>
      <w:r w:rsidR="00334A2A" w:rsidRPr="008C4F75">
        <w:rPr>
          <w:rFonts w:cs="Arial"/>
          <w:i/>
          <w:color w:val="0070C0"/>
        </w:rPr>
        <w:t>What method did RAN1 assume for propagation delay compensation in their synchronization accuracy analysis in IIoT study (as per results captured in TR 38.825), e.g. was it Timing Advance based or based on another method?</w:t>
      </w:r>
    </w:p>
    <w:p w14:paraId="5E180BA7" w14:textId="77777777" w:rsidR="00471843" w:rsidRDefault="00471843" w:rsidP="00334A2A">
      <w:pPr>
        <w:pStyle w:val="BodyText"/>
      </w:pPr>
    </w:p>
    <w:p w14:paraId="5DB76B26" w14:textId="1E3F9308" w:rsidR="00334A2A" w:rsidRDefault="00334A2A" w:rsidP="00334A2A">
      <w:pPr>
        <w:pStyle w:val="BodyText"/>
      </w:pPr>
      <w:r w:rsidRPr="00334A2A">
        <w:t xml:space="preserve">For the </w:t>
      </w:r>
      <w:proofErr w:type="spellStart"/>
      <w:r w:rsidRPr="00334A2A">
        <w:t>IIoT</w:t>
      </w:r>
      <w:proofErr w:type="spellEnd"/>
      <w:r w:rsidRPr="00334A2A">
        <w:t xml:space="preserve"> study item, four companies (</w:t>
      </w:r>
      <w:r w:rsidR="00321B29">
        <w:t>[5]-[8]</w:t>
      </w:r>
      <w:r w:rsidRPr="00334A2A">
        <w:t>) presented results with propagation delay compensation, and Timing Advanced based method was used.</w:t>
      </w:r>
      <w:r w:rsidR="000548BF">
        <w:t xml:space="preserve"> These results were summarized into </w:t>
      </w:r>
      <w:r w:rsidR="00F24A9B">
        <w:t>[9].</w:t>
      </w:r>
      <w:r w:rsidR="00471843">
        <w:t xml:space="preserve"> </w:t>
      </w:r>
      <w:proofErr w:type="gramStart"/>
      <w:r w:rsidR="005415BD">
        <w:t>Thus</w:t>
      </w:r>
      <w:proofErr w:type="gramEnd"/>
      <w:r w:rsidR="005415BD">
        <w:t xml:space="preserve"> the answer to Q1 is:</w:t>
      </w:r>
    </w:p>
    <w:p w14:paraId="74D5E8FC" w14:textId="77777777" w:rsidR="006B5D1C" w:rsidRDefault="005415BD" w:rsidP="00F062B6">
      <w:pPr>
        <w:pStyle w:val="BodyText"/>
        <w:ind w:left="720"/>
        <w:rPr>
          <w:b/>
        </w:rPr>
      </w:pPr>
      <w:bookmarkStart w:id="2" w:name="_Hlk16785078"/>
      <w:r w:rsidRPr="007726B3">
        <w:rPr>
          <w:b/>
        </w:rPr>
        <w:t>Timing</w:t>
      </w:r>
      <w:r w:rsidR="00A665CB" w:rsidRPr="007726B3">
        <w:rPr>
          <w:b/>
        </w:rPr>
        <w:t xml:space="preserve"> </w:t>
      </w:r>
      <w:r w:rsidRPr="007726B3">
        <w:rPr>
          <w:b/>
        </w:rPr>
        <w:t xml:space="preserve">Advance </w:t>
      </w:r>
      <w:bookmarkEnd w:id="2"/>
      <w:r w:rsidRPr="007726B3">
        <w:rPr>
          <w:b/>
        </w:rPr>
        <w:t xml:space="preserve">based </w:t>
      </w:r>
      <w:r w:rsidR="00A665CB" w:rsidRPr="007726B3">
        <w:rPr>
          <w:b/>
        </w:rPr>
        <w:t xml:space="preserve">methods were used </w:t>
      </w:r>
      <w:r w:rsidR="007726B3" w:rsidRPr="007726B3">
        <w:rPr>
          <w:b/>
        </w:rPr>
        <w:t xml:space="preserve">to obtain propagation delay compensation </w:t>
      </w:r>
      <w:r w:rsidR="00F062B6">
        <w:rPr>
          <w:b/>
        </w:rPr>
        <w:t xml:space="preserve">for synchronization accuracy analysis </w:t>
      </w:r>
      <w:r w:rsidR="00F062B6" w:rsidRPr="00F062B6">
        <w:rPr>
          <w:b/>
        </w:rPr>
        <w:t xml:space="preserve">in </w:t>
      </w:r>
      <w:proofErr w:type="spellStart"/>
      <w:r w:rsidR="00F062B6" w:rsidRPr="00F062B6">
        <w:rPr>
          <w:b/>
        </w:rPr>
        <w:t>IIoT</w:t>
      </w:r>
      <w:proofErr w:type="spellEnd"/>
      <w:r w:rsidR="00F062B6" w:rsidRPr="00F062B6">
        <w:rPr>
          <w:b/>
        </w:rPr>
        <w:t xml:space="preserve"> study (as per results captured in TR 38.825)</w:t>
      </w:r>
      <w:r w:rsidR="00F062B6">
        <w:rPr>
          <w:b/>
        </w:rPr>
        <w:t>.</w:t>
      </w:r>
      <w:r w:rsidR="006B5D1C">
        <w:rPr>
          <w:b/>
        </w:rPr>
        <w:t xml:space="preserve"> </w:t>
      </w:r>
    </w:p>
    <w:p w14:paraId="6259DCEB" w14:textId="6859F72F" w:rsidR="00025639" w:rsidRDefault="00025639" w:rsidP="00025639">
      <w:pPr>
        <w:pStyle w:val="BodyText"/>
      </w:pPr>
      <w:r w:rsidRPr="009D3D4B">
        <w:t>However, t</w:t>
      </w:r>
      <w:r w:rsidR="006B5D1C" w:rsidRPr="009D3D4B">
        <w:t xml:space="preserve">he results are not clear due to </w:t>
      </w:r>
      <w:r w:rsidR="009D3D4B">
        <w:t>incoheren</w:t>
      </w:r>
      <w:r w:rsidR="00D266B5">
        <w:t>t</w:t>
      </w:r>
      <w:r w:rsidR="009D3D4B">
        <w:t xml:space="preserve"> analysis </w:t>
      </w:r>
      <w:r w:rsidR="00743B62">
        <w:t>with</w:t>
      </w:r>
      <w:r w:rsidR="009D3D4B">
        <w:t xml:space="preserve"> </w:t>
      </w:r>
      <w:r w:rsidR="006B5D1C" w:rsidRPr="009D3D4B">
        <w:t>different chosen cell sizes</w:t>
      </w:r>
      <w:r w:rsidR="009D3D4B">
        <w:t xml:space="preserve"> and error sources consideration</w:t>
      </w:r>
      <w:r w:rsidR="006B5D1C" w:rsidRPr="009D3D4B">
        <w:t xml:space="preserve">. </w:t>
      </w:r>
      <w:r>
        <w:t xml:space="preserve">A clear bifurcation </w:t>
      </w:r>
      <w:r w:rsidR="009D3D4B">
        <w:t>in terms of cell size -</w:t>
      </w:r>
      <w:r>
        <w:t xml:space="preserve"> small and large cell size can provide </w:t>
      </w:r>
      <w:r w:rsidR="00743B62">
        <w:t xml:space="preserve">better </w:t>
      </w:r>
      <w:r>
        <w:t xml:space="preserve">understanding in utilizing Timing Advance </w:t>
      </w:r>
      <w:r w:rsidRPr="00025639">
        <w:t xml:space="preserve">for propagation delay compensation in their synchronization accuracy </w:t>
      </w:r>
      <w:r w:rsidR="009D3D4B" w:rsidRPr="00025639">
        <w:t>analysis</w:t>
      </w:r>
      <w:r w:rsidR="009D3D4B">
        <w:t xml:space="preserve">. </w:t>
      </w:r>
    </w:p>
    <w:p w14:paraId="2C846437" w14:textId="563120EE" w:rsidR="003A2244" w:rsidRDefault="00025639" w:rsidP="0045645E">
      <w:pPr>
        <w:pStyle w:val="BodyText"/>
        <w:numPr>
          <w:ilvl w:val="0"/>
          <w:numId w:val="39"/>
        </w:numPr>
      </w:pPr>
      <w:r w:rsidRPr="00840B41">
        <w:rPr>
          <w:b/>
          <w:u w:val="single"/>
        </w:rPr>
        <w:t>Small cell:</w:t>
      </w:r>
      <w:r>
        <w:t xml:space="preserve"> The propagation </w:t>
      </w:r>
      <w:r w:rsidR="009D3D4B">
        <w:t xml:space="preserve">delay is </w:t>
      </w:r>
      <w:r>
        <w:t>small</w:t>
      </w:r>
      <w:r w:rsidR="00E525D1">
        <w:t>.</w:t>
      </w:r>
      <w:r>
        <w:t xml:space="preserve"> </w:t>
      </w:r>
      <w:r w:rsidR="00E525D1">
        <w:t>U</w:t>
      </w:r>
      <w:r>
        <w:t xml:space="preserve">tilizing compensation methods like </w:t>
      </w:r>
      <w:r w:rsidRPr="00025639">
        <w:t>Timing Advance</w:t>
      </w:r>
      <w:r>
        <w:t xml:space="preserve"> </w:t>
      </w:r>
      <w:r w:rsidR="00545B63">
        <w:t xml:space="preserve">to arrive at a value for the downlink propagation delay </w:t>
      </w:r>
      <w:r>
        <w:t xml:space="preserve">may introduce more errors than </w:t>
      </w:r>
      <w:r w:rsidR="009D3D4B">
        <w:t xml:space="preserve">error due to </w:t>
      </w:r>
      <w:r w:rsidR="00545B63">
        <w:t xml:space="preserve">the UE not providing any compensation for the downlink </w:t>
      </w:r>
      <w:r w:rsidR="009D3D4B">
        <w:t>propagation delay.</w:t>
      </w:r>
    </w:p>
    <w:p w14:paraId="61047028" w14:textId="4EEFB064" w:rsidR="0015765E" w:rsidRDefault="009D3D4B" w:rsidP="0045645E">
      <w:pPr>
        <w:pStyle w:val="BodyText"/>
        <w:numPr>
          <w:ilvl w:val="0"/>
          <w:numId w:val="39"/>
        </w:numPr>
      </w:pPr>
      <w:r w:rsidRPr="0045645E">
        <w:rPr>
          <w:b/>
          <w:noProof/>
          <w:sz w:val="18"/>
          <w:u w:val="single"/>
        </w:rPr>
        <w:t>Large cell:</w:t>
      </w:r>
      <w:r>
        <w:t xml:space="preserve"> The utilization of </w:t>
      </w:r>
      <w:r w:rsidRPr="00025639">
        <w:t>Timing Advance</w:t>
      </w:r>
      <w:r>
        <w:t xml:space="preserve"> to compensate </w:t>
      </w:r>
      <w:r w:rsidR="00DA7E8D">
        <w:t xml:space="preserve">for </w:t>
      </w:r>
      <w:r>
        <w:t xml:space="preserve">larger delays is </w:t>
      </w:r>
      <w:r w:rsidR="00251722">
        <w:t>needed</w:t>
      </w:r>
      <w:r w:rsidR="00581960">
        <w:t>. W</w:t>
      </w:r>
      <w:r w:rsidR="00251722">
        <w:t>ithout it</w:t>
      </w:r>
      <w:r>
        <w:t xml:space="preserve"> the </w:t>
      </w:r>
      <w:proofErr w:type="spellStart"/>
      <w:r w:rsidR="00403EA9">
        <w:t>Uu</w:t>
      </w:r>
      <w:proofErr w:type="spellEnd"/>
      <w:r w:rsidR="00403EA9">
        <w:t xml:space="preserve"> interface synchronization </w:t>
      </w:r>
      <w:r>
        <w:t>error</w:t>
      </w:r>
      <w:r w:rsidR="00EA7C68">
        <w:t xml:space="preserve"> is likely to </w:t>
      </w:r>
      <w:r w:rsidR="008F63BC">
        <w:t>exceed the target accuracy, with worse error for larger cells.</w:t>
      </w:r>
      <w:r w:rsidR="006C615F">
        <w:t xml:space="preserve"> </w:t>
      </w:r>
      <w:r w:rsidR="006C615F">
        <w:lastRenderedPageBreak/>
        <w:t xml:space="preserve">Even with propagation delay compensation using the existing TA mechanism, analysis </w:t>
      </w:r>
      <w:r w:rsidR="002C0696">
        <w:t>[</w:t>
      </w:r>
      <w:r w:rsidR="00146D73">
        <w:t>9</w:t>
      </w:r>
      <w:r w:rsidR="002C0696">
        <w:t xml:space="preserve">] </w:t>
      </w:r>
      <w:r w:rsidR="006C615F">
        <w:t xml:space="preserve">showed that </w:t>
      </w:r>
      <w:r w:rsidR="00A924F2">
        <w:t xml:space="preserve">the </w:t>
      </w:r>
      <w:proofErr w:type="spellStart"/>
      <w:r w:rsidR="00A924F2">
        <w:t>Uu</w:t>
      </w:r>
      <w:proofErr w:type="spellEnd"/>
      <w:r w:rsidR="00A924F2">
        <w:t xml:space="preserve"> interface error </w:t>
      </w:r>
      <w:r>
        <w:t xml:space="preserve">may amount </w:t>
      </w:r>
      <w:r w:rsidR="00251722">
        <w:t xml:space="preserve">to </w:t>
      </w:r>
      <w:r>
        <w:t>more</w:t>
      </w:r>
      <w:r w:rsidR="001543DE">
        <w:t xml:space="preserve"> tha</w:t>
      </w:r>
      <w:r w:rsidR="0015765E">
        <w:t>n</w:t>
      </w:r>
      <w:r>
        <w:t xml:space="preserve"> 50 % of E2E synchronization error budget</w:t>
      </w:r>
      <w:r w:rsidR="00A924F2">
        <w:t xml:space="preserve">. It should be </w:t>
      </w:r>
      <w:r w:rsidR="00ED7882">
        <w:t>studied if this is acceptable. If not, then enhancement to the existing TA mechanism is necessary</w:t>
      </w:r>
      <w:r w:rsidR="0061169F">
        <w:t xml:space="preserve"> for obtaining the propagation delay.</w:t>
      </w:r>
    </w:p>
    <w:p w14:paraId="352FB476" w14:textId="77777777" w:rsidR="00DF356F" w:rsidRDefault="00DF356F">
      <w:pPr>
        <w:pStyle w:val="BodyText"/>
      </w:pPr>
    </w:p>
    <w:p w14:paraId="60968B9C" w14:textId="757BC209" w:rsidR="00334A2A" w:rsidRDefault="00334A2A" w:rsidP="00743B62">
      <w:pPr>
        <w:pStyle w:val="Header"/>
        <w:rPr>
          <w:i/>
          <w:color w:val="00B0F0"/>
        </w:rPr>
      </w:pPr>
      <w:r w:rsidRPr="0045645E">
        <w:rPr>
          <w:i/>
          <w:color w:val="00B0F0"/>
        </w:rPr>
        <w:t xml:space="preserve">Q2. </w:t>
      </w:r>
      <w:r w:rsidR="00B37406" w:rsidRPr="0045645E">
        <w:rPr>
          <w:i/>
          <w:color w:val="00B0F0"/>
        </w:rPr>
        <w:t xml:space="preserve">Does </w:t>
      </w:r>
      <w:bookmarkStart w:id="3" w:name="_Hlk16872318"/>
      <w:r w:rsidR="00B37406" w:rsidRPr="0045645E">
        <w:rPr>
          <w:i/>
          <w:color w:val="00B0F0"/>
        </w:rPr>
        <w:t>RAN1 see the need for specifying any propagation delay compensation requirements or enhancements in order to meet the synchronization requirements</w:t>
      </w:r>
      <w:bookmarkEnd w:id="3"/>
      <w:r w:rsidR="00B37406" w:rsidRPr="0045645E">
        <w:rPr>
          <w:i/>
          <w:color w:val="00B0F0"/>
        </w:rPr>
        <w:t xml:space="preserve"> as studied in NR Industrial IoT SI?</w:t>
      </w:r>
    </w:p>
    <w:p w14:paraId="27CFD1AD" w14:textId="77777777" w:rsidR="00743B62" w:rsidRPr="0045645E" w:rsidRDefault="00743B62" w:rsidP="0045645E">
      <w:pPr>
        <w:pStyle w:val="Header"/>
        <w:rPr>
          <w:i/>
          <w:color w:val="00B0F0"/>
        </w:rPr>
      </w:pPr>
    </w:p>
    <w:p w14:paraId="0A76D4B7" w14:textId="03181A75" w:rsidR="00334A2A" w:rsidRDefault="004834CC" w:rsidP="00DD4ECC">
      <w:pPr>
        <w:pStyle w:val="BodyText"/>
      </w:pPr>
      <w:r>
        <w:t>S</w:t>
      </w:r>
      <w:r w:rsidR="00413E35" w:rsidRPr="00413E35">
        <w:t>ynchronization requirements as studied in NR Industrial IoT SI</w:t>
      </w:r>
      <w:r w:rsidR="00413E35">
        <w:t xml:space="preserve"> </w:t>
      </w:r>
      <w:r>
        <w:t xml:space="preserve">is described in TS 22.104 V16.2.0, section </w:t>
      </w:r>
      <w:r w:rsidR="00B62D7E">
        <w:t xml:space="preserve">5.6. The requirements table is copied below. </w:t>
      </w:r>
    </w:p>
    <w:p w14:paraId="0BCB1952" w14:textId="37A884D9" w:rsidR="00334A2A" w:rsidRPr="00DD4ECC" w:rsidRDefault="00F821DA" w:rsidP="00DD4ECC">
      <w:pPr>
        <w:pStyle w:val="TH"/>
        <w:rPr>
          <w:rFonts w:cs="Arial"/>
          <w:color w:val="000000" w:themeColor="text1"/>
          <w:lang w:val="en-GB"/>
        </w:rPr>
      </w:pPr>
      <w:r w:rsidRPr="00DD4ECC">
        <w:rPr>
          <w:rFonts w:cs="Arial"/>
          <w:color w:val="000000" w:themeColor="text1"/>
          <w:lang w:val="en-GB"/>
        </w:rPr>
        <w:t>TS22.104</w:t>
      </w:r>
      <w:r w:rsidR="004409FF">
        <w:rPr>
          <w:rFonts w:cs="Arial"/>
          <w:color w:val="000000" w:themeColor="text1"/>
          <w:lang w:val="en-GB"/>
        </w:rPr>
        <w:t xml:space="preserve"> </w:t>
      </w:r>
      <w:r w:rsidR="004409FF" w:rsidRPr="004409FF">
        <w:rPr>
          <w:rFonts w:cs="Arial"/>
          <w:color w:val="000000" w:themeColor="text1"/>
          <w:lang w:val="en-GB"/>
        </w:rPr>
        <w:t>V16.2.0</w:t>
      </w:r>
      <w:r w:rsidRPr="00DD4ECC">
        <w:rPr>
          <w:rFonts w:cs="Arial"/>
          <w:color w:val="000000" w:themeColor="text1"/>
          <w:lang w:val="en-GB"/>
        </w:rPr>
        <w:t xml:space="preserve">, </w:t>
      </w:r>
      <w:r w:rsidR="00334A2A" w:rsidRPr="00DD4ECC">
        <w:rPr>
          <w:color w:val="000000" w:themeColor="text1"/>
          <w:lang w:val="en-GB"/>
        </w:rPr>
        <w:t>Table 5.6.2-1: Clock synchronization service performance requirements</w:t>
      </w:r>
    </w:p>
    <w:tbl>
      <w:tblPr>
        <w:tblW w:w="3460" w:type="pct"/>
        <w:jc w:val="center"/>
        <w:tblCellMar>
          <w:left w:w="0" w:type="dxa"/>
          <w:right w:w="0" w:type="dxa"/>
        </w:tblCellMar>
        <w:tblLook w:val="04A0" w:firstRow="1" w:lastRow="0" w:firstColumn="1" w:lastColumn="0" w:noHBand="0" w:noVBand="1"/>
      </w:tblPr>
      <w:tblGrid>
        <w:gridCol w:w="1387"/>
        <w:gridCol w:w="1607"/>
        <w:gridCol w:w="1387"/>
        <w:gridCol w:w="884"/>
        <w:gridCol w:w="1787"/>
      </w:tblGrid>
      <w:tr w:rsidR="00DD4ECC" w:rsidRPr="00DD4ECC" w14:paraId="04A7053E" w14:textId="77777777" w:rsidTr="00DD4ECC">
        <w:trPr>
          <w:jc w:val="center"/>
        </w:trPr>
        <w:tc>
          <w:tcPr>
            <w:tcW w:w="8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7120B" w14:textId="77777777" w:rsidR="00334A2A" w:rsidRPr="00DD4ECC" w:rsidRDefault="00334A2A">
            <w:pPr>
              <w:pStyle w:val="TAH"/>
              <w:rPr>
                <w:color w:val="000000" w:themeColor="text1"/>
                <w:lang w:val="en-GB"/>
              </w:rPr>
            </w:pPr>
            <w:r w:rsidRPr="00DD4ECC">
              <w:rPr>
                <w:color w:val="000000" w:themeColor="text1"/>
                <w:lang w:val="en-GB"/>
              </w:rPr>
              <w:t xml:space="preserve">User-specific clock synchronicity accuracy level </w:t>
            </w:r>
          </w:p>
        </w:tc>
        <w:tc>
          <w:tcPr>
            <w:tcW w:w="10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BECC4" w14:textId="77777777" w:rsidR="00334A2A" w:rsidRPr="00DD4ECC" w:rsidRDefault="00334A2A">
            <w:pPr>
              <w:pStyle w:val="TAH"/>
              <w:rPr>
                <w:color w:val="000000" w:themeColor="text1"/>
                <w:lang w:val="en-GB"/>
              </w:rPr>
            </w:pPr>
            <w:r w:rsidRPr="00DD4ECC">
              <w:rPr>
                <w:color w:val="000000" w:themeColor="text1"/>
                <w:lang w:val="en-GB"/>
              </w:rPr>
              <w:t>Number of devices in one Communication group for clock synchronisation</w:t>
            </w:r>
          </w:p>
        </w:tc>
        <w:tc>
          <w:tcPr>
            <w:tcW w:w="8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6DA99" w14:textId="77777777" w:rsidR="00334A2A" w:rsidRPr="00DD4ECC" w:rsidRDefault="00334A2A">
            <w:pPr>
              <w:pStyle w:val="TAH"/>
              <w:rPr>
                <w:color w:val="000000" w:themeColor="text1"/>
                <w:lang w:val="en-GB"/>
              </w:rPr>
            </w:pPr>
            <w:r w:rsidRPr="00DD4ECC">
              <w:rPr>
                <w:color w:val="000000" w:themeColor="text1"/>
                <w:lang w:val="en-GB"/>
              </w:rPr>
              <w:t xml:space="preserve">Clock synchronicity requirement </w:t>
            </w:r>
          </w:p>
        </w:tc>
        <w:tc>
          <w:tcPr>
            <w:tcW w:w="7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CC652" w14:textId="77777777" w:rsidR="00334A2A" w:rsidRPr="00DD4ECC" w:rsidRDefault="00334A2A">
            <w:pPr>
              <w:pStyle w:val="TAH"/>
              <w:rPr>
                <w:color w:val="000000" w:themeColor="text1"/>
                <w:lang w:val="en-GB"/>
              </w:rPr>
            </w:pPr>
            <w:r w:rsidRPr="00DD4ECC">
              <w:rPr>
                <w:color w:val="000000" w:themeColor="text1"/>
                <w:lang w:val="en-GB"/>
              </w:rPr>
              <w:t xml:space="preserve">Service area </w:t>
            </w:r>
          </w:p>
        </w:tc>
        <w:tc>
          <w:tcPr>
            <w:tcW w:w="1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10E1B" w14:textId="77777777" w:rsidR="00334A2A" w:rsidRPr="00DD4ECC" w:rsidRDefault="00334A2A">
            <w:pPr>
              <w:pStyle w:val="TAH"/>
              <w:rPr>
                <w:color w:val="000000" w:themeColor="text1"/>
                <w:lang w:val="en-GB"/>
              </w:rPr>
            </w:pPr>
            <w:r w:rsidRPr="00DD4ECC">
              <w:rPr>
                <w:color w:val="000000" w:themeColor="text1"/>
                <w:lang w:val="en-GB"/>
              </w:rPr>
              <w:t>Scenario</w:t>
            </w:r>
          </w:p>
        </w:tc>
      </w:tr>
      <w:tr w:rsidR="00DD4ECC" w:rsidRPr="00DD4ECC" w14:paraId="2F364256" w14:textId="77777777" w:rsidTr="00DD4ECC">
        <w:trPr>
          <w:jc w:val="center"/>
        </w:trPr>
        <w:tc>
          <w:tcPr>
            <w:tcW w:w="8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0D080" w14:textId="77777777" w:rsidR="00334A2A" w:rsidRPr="00DD4ECC" w:rsidRDefault="00334A2A">
            <w:pPr>
              <w:pStyle w:val="TAL"/>
              <w:rPr>
                <w:color w:val="000000" w:themeColor="text1"/>
                <w:lang w:val="en-GB"/>
              </w:rPr>
            </w:pPr>
            <w:r w:rsidRPr="00DD4ECC">
              <w:rPr>
                <w:color w:val="000000" w:themeColor="text1"/>
                <w:lang w:val="en-GB"/>
              </w:rPr>
              <w:t>1</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66CB8215" w14:textId="77777777" w:rsidR="00334A2A" w:rsidRPr="00DD4ECC" w:rsidRDefault="00334A2A">
            <w:pPr>
              <w:pStyle w:val="TAL"/>
              <w:rPr>
                <w:color w:val="000000" w:themeColor="text1"/>
                <w:lang w:val="en-GB"/>
              </w:rPr>
            </w:pPr>
            <w:r w:rsidRPr="00DD4ECC">
              <w:rPr>
                <w:color w:val="000000" w:themeColor="text1"/>
                <w:lang w:val="en-GB"/>
              </w:rPr>
              <w:t>Up to 300 UEs</w:t>
            </w:r>
          </w:p>
        </w:tc>
        <w:tc>
          <w:tcPr>
            <w:tcW w:w="814" w:type="pct"/>
            <w:tcBorders>
              <w:top w:val="nil"/>
              <w:left w:val="nil"/>
              <w:bottom w:val="single" w:sz="8" w:space="0" w:color="auto"/>
              <w:right w:val="single" w:sz="8" w:space="0" w:color="auto"/>
            </w:tcBorders>
            <w:tcMar>
              <w:top w:w="0" w:type="dxa"/>
              <w:left w:w="108" w:type="dxa"/>
              <w:bottom w:w="0" w:type="dxa"/>
              <w:right w:w="108" w:type="dxa"/>
            </w:tcMar>
            <w:hideMark/>
          </w:tcPr>
          <w:p w14:paraId="284A59B0" w14:textId="77777777" w:rsidR="00334A2A" w:rsidRPr="00DD4ECC" w:rsidRDefault="00334A2A">
            <w:pPr>
              <w:pStyle w:val="TAL"/>
              <w:rPr>
                <w:color w:val="000000" w:themeColor="text1"/>
                <w:lang w:val="en-GB"/>
              </w:rPr>
            </w:pPr>
            <w:r w:rsidRPr="00DD4ECC">
              <w:rPr>
                <w:color w:val="000000" w:themeColor="text1"/>
                <w:lang w:val="en-GB"/>
              </w:rPr>
              <w:t>&lt; 1 µs</w:t>
            </w:r>
          </w:p>
        </w:tc>
        <w:tc>
          <w:tcPr>
            <w:tcW w:w="772" w:type="pct"/>
            <w:tcBorders>
              <w:top w:val="nil"/>
              <w:left w:val="nil"/>
              <w:bottom w:val="single" w:sz="8" w:space="0" w:color="auto"/>
              <w:right w:val="single" w:sz="8" w:space="0" w:color="auto"/>
            </w:tcBorders>
            <w:tcMar>
              <w:top w:w="0" w:type="dxa"/>
              <w:left w:w="108" w:type="dxa"/>
              <w:bottom w:w="0" w:type="dxa"/>
              <w:right w:w="108" w:type="dxa"/>
            </w:tcMar>
            <w:hideMark/>
          </w:tcPr>
          <w:p w14:paraId="475F8AA8" w14:textId="77777777" w:rsidR="00334A2A" w:rsidRPr="00DD4ECC" w:rsidRDefault="00334A2A">
            <w:pPr>
              <w:pStyle w:val="TAL"/>
              <w:rPr>
                <w:color w:val="000000" w:themeColor="text1"/>
                <w:lang w:val="en-GB"/>
              </w:rPr>
            </w:pPr>
            <w:r w:rsidRPr="00DD4ECC">
              <w:rPr>
                <w:color w:val="000000" w:themeColor="text1"/>
                <w:lang w:val="en-GB"/>
              </w:rPr>
              <w:t>≤ 100 m x 100 m</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14:paraId="37572114" w14:textId="77777777" w:rsidR="00334A2A" w:rsidRPr="00DD4ECC" w:rsidRDefault="00334A2A" w:rsidP="00334A2A">
            <w:pPr>
              <w:pStyle w:val="TAL"/>
              <w:keepLines w:val="0"/>
              <w:numPr>
                <w:ilvl w:val="0"/>
                <w:numId w:val="26"/>
              </w:numPr>
              <w:adjustRightInd/>
              <w:textAlignment w:val="auto"/>
              <w:rPr>
                <w:color w:val="000000" w:themeColor="text1"/>
                <w:lang w:val="en-GB" w:eastAsia="zh-CN"/>
              </w:rPr>
            </w:pPr>
            <w:r w:rsidRPr="00DD4ECC">
              <w:rPr>
                <w:color w:val="000000" w:themeColor="text1"/>
                <w:lang w:val="en-GB" w:eastAsia="zh-CN"/>
              </w:rPr>
              <w:t>Motion control</w:t>
            </w:r>
          </w:p>
          <w:p w14:paraId="249CD223" w14:textId="77777777" w:rsidR="00334A2A" w:rsidRPr="00DD4ECC" w:rsidRDefault="00334A2A" w:rsidP="00334A2A">
            <w:pPr>
              <w:pStyle w:val="TAL"/>
              <w:keepLines w:val="0"/>
              <w:numPr>
                <w:ilvl w:val="0"/>
                <w:numId w:val="26"/>
              </w:numPr>
              <w:adjustRightInd/>
              <w:textAlignment w:val="auto"/>
              <w:rPr>
                <w:i/>
                <w:iCs/>
                <w:color w:val="000000" w:themeColor="text1"/>
                <w:lang w:val="en-GB" w:eastAsia="en-GB"/>
              </w:rPr>
            </w:pPr>
            <w:r w:rsidRPr="00DD4ECC">
              <w:rPr>
                <w:color w:val="000000" w:themeColor="text1"/>
                <w:lang w:val="en-GB" w:eastAsia="zh-CN"/>
              </w:rPr>
              <w:t>Control-to-control communication for industrial controller</w:t>
            </w:r>
          </w:p>
        </w:tc>
      </w:tr>
      <w:tr w:rsidR="00DD4ECC" w:rsidRPr="00DD4ECC" w14:paraId="172145B3" w14:textId="77777777" w:rsidTr="00DD4ECC">
        <w:trPr>
          <w:jc w:val="center"/>
        </w:trPr>
        <w:tc>
          <w:tcPr>
            <w:tcW w:w="8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BAADE" w14:textId="77777777" w:rsidR="00334A2A" w:rsidRPr="00DD4ECC" w:rsidRDefault="00334A2A">
            <w:pPr>
              <w:pStyle w:val="TAL"/>
              <w:rPr>
                <w:rFonts w:eastAsiaTheme="minorEastAsia"/>
                <w:color w:val="000000" w:themeColor="text1"/>
                <w:lang w:val="en-GB"/>
              </w:rPr>
            </w:pPr>
            <w:r w:rsidRPr="00DD4ECC">
              <w:rPr>
                <w:color w:val="000000" w:themeColor="text1"/>
                <w:lang w:val="en-GB"/>
              </w:rPr>
              <w:t>2</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21F6E762" w14:textId="77777777" w:rsidR="00334A2A" w:rsidRPr="00DD4ECC" w:rsidRDefault="00334A2A">
            <w:pPr>
              <w:pStyle w:val="TAL"/>
              <w:rPr>
                <w:color w:val="000000" w:themeColor="text1"/>
                <w:lang w:val="en-GB"/>
              </w:rPr>
            </w:pPr>
            <w:r w:rsidRPr="00DD4ECC">
              <w:rPr>
                <w:color w:val="000000" w:themeColor="text1"/>
                <w:lang w:val="en-GB"/>
              </w:rPr>
              <w:t>Up to 10 UEs</w:t>
            </w:r>
          </w:p>
        </w:tc>
        <w:tc>
          <w:tcPr>
            <w:tcW w:w="814" w:type="pct"/>
            <w:tcBorders>
              <w:top w:val="nil"/>
              <w:left w:val="nil"/>
              <w:bottom w:val="single" w:sz="8" w:space="0" w:color="auto"/>
              <w:right w:val="single" w:sz="8" w:space="0" w:color="auto"/>
            </w:tcBorders>
            <w:tcMar>
              <w:top w:w="0" w:type="dxa"/>
              <w:left w:w="108" w:type="dxa"/>
              <w:bottom w:w="0" w:type="dxa"/>
              <w:right w:w="108" w:type="dxa"/>
            </w:tcMar>
            <w:hideMark/>
          </w:tcPr>
          <w:p w14:paraId="18176130" w14:textId="77777777" w:rsidR="00334A2A" w:rsidRPr="00DD4ECC" w:rsidRDefault="00334A2A">
            <w:pPr>
              <w:pStyle w:val="TAL"/>
              <w:rPr>
                <w:color w:val="000000" w:themeColor="text1"/>
                <w:lang w:val="en-GB"/>
              </w:rPr>
            </w:pPr>
            <w:r w:rsidRPr="00DD4ECC">
              <w:rPr>
                <w:color w:val="000000" w:themeColor="text1"/>
                <w:lang w:val="en-GB"/>
              </w:rPr>
              <w:t>&lt; 10 µs</w:t>
            </w:r>
          </w:p>
        </w:tc>
        <w:tc>
          <w:tcPr>
            <w:tcW w:w="772" w:type="pct"/>
            <w:tcBorders>
              <w:top w:val="nil"/>
              <w:left w:val="nil"/>
              <w:bottom w:val="single" w:sz="8" w:space="0" w:color="auto"/>
              <w:right w:val="single" w:sz="8" w:space="0" w:color="auto"/>
            </w:tcBorders>
            <w:tcMar>
              <w:top w:w="0" w:type="dxa"/>
              <w:left w:w="108" w:type="dxa"/>
              <w:bottom w:w="0" w:type="dxa"/>
              <w:right w:w="108" w:type="dxa"/>
            </w:tcMar>
            <w:hideMark/>
          </w:tcPr>
          <w:p w14:paraId="53F825F5" w14:textId="77777777" w:rsidR="00334A2A" w:rsidRPr="00DD4ECC" w:rsidRDefault="00334A2A">
            <w:pPr>
              <w:pStyle w:val="TAL"/>
              <w:rPr>
                <w:color w:val="000000" w:themeColor="text1"/>
                <w:lang w:val="en-GB"/>
              </w:rPr>
            </w:pPr>
            <w:r w:rsidRPr="00DD4ECC">
              <w:rPr>
                <w:color w:val="000000" w:themeColor="text1"/>
                <w:lang w:val="en-GB"/>
              </w:rPr>
              <w:t>≤ 2500 m</w:t>
            </w:r>
            <w:r w:rsidRPr="00DD4ECC">
              <w:rPr>
                <w:color w:val="000000" w:themeColor="text1"/>
                <w:vertAlign w:val="superscript"/>
                <w:lang w:val="en-GB"/>
              </w:rPr>
              <w:t>2</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14:paraId="71D518B1" w14:textId="77777777" w:rsidR="00334A2A" w:rsidRPr="00DD4ECC" w:rsidRDefault="00334A2A" w:rsidP="00334A2A">
            <w:pPr>
              <w:pStyle w:val="TAL"/>
              <w:keepLines w:val="0"/>
              <w:numPr>
                <w:ilvl w:val="0"/>
                <w:numId w:val="26"/>
              </w:numPr>
              <w:adjustRightInd/>
              <w:textAlignment w:val="auto"/>
              <w:rPr>
                <w:i/>
                <w:iCs/>
                <w:color w:val="000000" w:themeColor="text1"/>
                <w:lang w:val="en-GB"/>
              </w:rPr>
            </w:pPr>
            <w:r w:rsidRPr="00DD4ECC">
              <w:rPr>
                <w:color w:val="000000" w:themeColor="text1"/>
                <w:lang w:val="en-GB"/>
              </w:rPr>
              <w:t>High data rate video streaming</w:t>
            </w:r>
          </w:p>
        </w:tc>
      </w:tr>
      <w:tr w:rsidR="00DD4ECC" w:rsidRPr="00DD4ECC" w14:paraId="2CACA4BA" w14:textId="77777777" w:rsidTr="002F1D21">
        <w:trPr>
          <w:jc w:val="center"/>
        </w:trPr>
        <w:tc>
          <w:tcPr>
            <w:tcW w:w="811"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27BA031" w14:textId="77777777" w:rsidR="00334A2A" w:rsidRPr="002F1D21" w:rsidRDefault="00334A2A">
            <w:pPr>
              <w:pStyle w:val="TAL"/>
              <w:rPr>
                <w:rFonts w:eastAsiaTheme="minorEastAsia"/>
                <w:color w:val="000000" w:themeColor="text1"/>
                <w:lang w:val="en-GB"/>
              </w:rPr>
            </w:pPr>
            <w:r w:rsidRPr="002F1D21">
              <w:rPr>
                <w:color w:val="000000" w:themeColor="text1"/>
                <w:lang w:val="en-GB"/>
              </w:rPr>
              <w:t>3</w:t>
            </w:r>
          </w:p>
        </w:tc>
        <w:tc>
          <w:tcPr>
            <w:tcW w:w="10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BBD7289" w14:textId="77777777" w:rsidR="00334A2A" w:rsidRPr="002F1D21" w:rsidRDefault="00334A2A">
            <w:pPr>
              <w:pStyle w:val="TAL"/>
              <w:rPr>
                <w:color w:val="000000" w:themeColor="text1"/>
                <w:lang w:val="en-GB"/>
              </w:rPr>
            </w:pPr>
            <w:r w:rsidRPr="002F1D21">
              <w:rPr>
                <w:color w:val="000000" w:themeColor="text1"/>
                <w:lang w:val="en-GB"/>
              </w:rPr>
              <w:t>Up to 100 UEs</w:t>
            </w:r>
          </w:p>
        </w:tc>
        <w:tc>
          <w:tcPr>
            <w:tcW w:w="81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DFB99F" w14:textId="77777777" w:rsidR="00334A2A" w:rsidRPr="002F1D21" w:rsidRDefault="00334A2A">
            <w:pPr>
              <w:pStyle w:val="TAL"/>
              <w:rPr>
                <w:color w:val="000000" w:themeColor="text1"/>
                <w:lang w:val="en-GB"/>
              </w:rPr>
            </w:pPr>
            <w:r w:rsidRPr="002F1D21">
              <w:rPr>
                <w:color w:val="000000" w:themeColor="text1"/>
                <w:lang w:val="en-GB"/>
              </w:rPr>
              <w:t>&lt; 1 µs</w:t>
            </w:r>
          </w:p>
        </w:tc>
        <w:tc>
          <w:tcPr>
            <w:tcW w:w="77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E11063" w14:textId="77777777" w:rsidR="00334A2A" w:rsidRPr="002F1D21" w:rsidRDefault="00334A2A">
            <w:pPr>
              <w:pStyle w:val="TAL"/>
              <w:rPr>
                <w:color w:val="000000" w:themeColor="text1"/>
                <w:lang w:val="en-GB"/>
              </w:rPr>
            </w:pPr>
            <w:r w:rsidRPr="002F1D21">
              <w:rPr>
                <w:color w:val="000000" w:themeColor="text1"/>
                <w:lang w:val="en-GB"/>
              </w:rPr>
              <w:t>&lt; 20 km</w:t>
            </w:r>
            <w:r w:rsidRPr="002F1D21">
              <w:rPr>
                <w:color w:val="000000" w:themeColor="text1"/>
                <w:vertAlign w:val="superscript"/>
                <w:lang w:val="en-GB"/>
              </w:rPr>
              <w:t>2</w:t>
            </w:r>
          </w:p>
        </w:tc>
        <w:tc>
          <w:tcPr>
            <w:tcW w:w="158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3E50BF" w14:textId="77777777" w:rsidR="00334A2A" w:rsidRPr="002F1D21" w:rsidRDefault="00334A2A" w:rsidP="00334A2A">
            <w:pPr>
              <w:pStyle w:val="TAL"/>
              <w:keepLines w:val="0"/>
              <w:numPr>
                <w:ilvl w:val="0"/>
                <w:numId w:val="26"/>
              </w:numPr>
              <w:overflowPunct/>
              <w:autoSpaceDE/>
              <w:adjustRightInd/>
              <w:textAlignment w:val="auto"/>
              <w:rPr>
                <w:color w:val="000000" w:themeColor="text1"/>
                <w:lang w:val="en-GB"/>
              </w:rPr>
            </w:pPr>
            <w:r w:rsidRPr="002F1D21">
              <w:rPr>
                <w:color w:val="000000" w:themeColor="text1"/>
                <w:lang w:val="en-GB"/>
              </w:rPr>
              <w:t>Smart Grid: synchronicity between PMUs</w:t>
            </w:r>
          </w:p>
        </w:tc>
      </w:tr>
    </w:tbl>
    <w:p w14:paraId="7638386D" w14:textId="77777777" w:rsidR="00334A2A" w:rsidRDefault="00334A2A" w:rsidP="00334A2A">
      <w:pPr>
        <w:pStyle w:val="Header"/>
        <w:spacing w:after="120"/>
        <w:rPr>
          <w:rFonts w:eastAsiaTheme="minorEastAsia" w:cs="Arial"/>
          <w:sz w:val="20"/>
          <w:lang w:val="en-US"/>
        </w:rPr>
      </w:pPr>
    </w:p>
    <w:p w14:paraId="3CCCCE23" w14:textId="50D58D58" w:rsidR="00D617C0" w:rsidRDefault="00D617C0" w:rsidP="00D617C0">
      <w:pPr>
        <w:pStyle w:val="BodyText"/>
      </w:pPr>
      <w:r>
        <w:t xml:space="preserve">This shows that </w:t>
      </w:r>
      <w:r w:rsidRPr="00DD4ECC">
        <w:t xml:space="preserve">the most stringent requirement corresponds to </w:t>
      </w:r>
      <w:r>
        <w:t xml:space="preserve">the Smart Grid scenario, with </w:t>
      </w:r>
      <w:r w:rsidRPr="00DD4ECC">
        <w:t>synchronicity requirement</w:t>
      </w:r>
      <w:r>
        <w:t xml:space="preserve"> </w:t>
      </w:r>
      <w:r w:rsidRPr="00DD4ECC">
        <w:t>of &lt;1 µs for service area &lt; 20 km</w:t>
      </w:r>
      <w:r w:rsidRPr="0082745B">
        <w:rPr>
          <w:vertAlign w:val="superscript"/>
        </w:rPr>
        <w:t>2</w:t>
      </w:r>
      <w:r>
        <w:t xml:space="preserve">. </w:t>
      </w:r>
      <w:r w:rsidR="007C718A">
        <w:t xml:space="preserve">This </w:t>
      </w:r>
      <w:r w:rsidR="004274AB">
        <w:t>is a type of</w:t>
      </w:r>
      <w:r w:rsidR="007C718A">
        <w:t xml:space="preserve"> </w:t>
      </w:r>
      <w:r w:rsidR="00417A5D">
        <w:t xml:space="preserve">deployment in larger service areas with more sparse cell deployments. </w:t>
      </w:r>
      <w:r w:rsidR="005C4FFF">
        <w:t xml:space="preserve">As stated in </w:t>
      </w:r>
      <w:r w:rsidR="005C4FFF" w:rsidRPr="005C4FFF">
        <w:t>response LS in R1-1901470</w:t>
      </w:r>
      <w:r w:rsidR="005C4FFF">
        <w:t xml:space="preserve"> from RAN1:</w:t>
      </w:r>
    </w:p>
    <w:p w14:paraId="407DD546" w14:textId="61BA3882" w:rsidR="005C4FFF" w:rsidRPr="007C718A" w:rsidRDefault="005C4FFF" w:rsidP="007C718A">
      <w:pPr>
        <w:pStyle w:val="Header"/>
        <w:spacing w:after="120"/>
        <w:ind w:left="567"/>
        <w:jc w:val="both"/>
        <w:rPr>
          <w:rFonts w:cs="Arial"/>
          <w:b w:val="0"/>
        </w:rPr>
      </w:pPr>
      <w:r w:rsidRPr="007C718A">
        <w:rPr>
          <w:b w:val="0"/>
        </w:rPr>
        <w:t>“</w:t>
      </w:r>
      <w:r w:rsidR="007C718A" w:rsidRPr="007C718A">
        <w:rPr>
          <w:rFonts w:cs="Arial"/>
          <w:b w:val="0"/>
        </w:rPr>
        <w:t>The propagation delay compensation needs to be applied by the TSN UEs for larger service areas with more sparse cell deployments (e.g. for inter-site distances &gt;200m the gNB-to-UE timing synchronization accuracy without propagation delay compensation may be worse than 1us).</w:t>
      </w:r>
      <w:r w:rsidRPr="007C718A">
        <w:rPr>
          <w:b w:val="0"/>
        </w:rPr>
        <w:t>”</w:t>
      </w:r>
    </w:p>
    <w:p w14:paraId="7902CE57" w14:textId="108DA45B" w:rsidR="002D1E99" w:rsidRDefault="008D7FF5" w:rsidP="00374363">
      <w:pPr>
        <w:pStyle w:val="BodyText"/>
      </w:pPr>
      <w:r>
        <w:t xml:space="preserve">The full analysis </w:t>
      </w:r>
      <w:r w:rsidR="004274AB">
        <w:t>provided by RAN1 has been</w:t>
      </w:r>
      <w:r>
        <w:t xml:space="preserve"> </w:t>
      </w:r>
      <w:r w:rsidR="00374363">
        <w:t>captured in TR 38.825</w:t>
      </w:r>
      <w:r>
        <w:t>, with excerpts copied in the Appendix</w:t>
      </w:r>
      <w:r w:rsidR="00D010A0">
        <w:t xml:space="preserve"> A</w:t>
      </w:r>
      <w:r>
        <w:t xml:space="preserve">. </w:t>
      </w:r>
      <w:proofErr w:type="gramStart"/>
      <w:r w:rsidR="00A445B4">
        <w:t>I</w:t>
      </w:r>
      <w:r w:rsidR="00CA1878">
        <w:t xml:space="preserve">t is clear that </w:t>
      </w:r>
      <w:r w:rsidR="00374363">
        <w:t>for</w:t>
      </w:r>
      <w:proofErr w:type="gramEnd"/>
      <w:r w:rsidR="00374363">
        <w:t xml:space="preserve"> large </w:t>
      </w:r>
      <w:r w:rsidR="002D1E99">
        <w:t>service area</w:t>
      </w:r>
      <w:r w:rsidR="00374363">
        <w:t xml:space="preserve"> with </w:t>
      </w:r>
      <w:r w:rsidR="00AA5C75">
        <w:t>total E2E</w:t>
      </w:r>
      <w:r w:rsidR="00AA5C75" w:rsidRPr="00DD4ECC">
        <w:t xml:space="preserve"> </w:t>
      </w:r>
      <w:r w:rsidR="00374363" w:rsidRPr="00DD4ECC">
        <w:t>synchronicity requirement of &lt;1 µs</w:t>
      </w:r>
      <w:r w:rsidR="00374363">
        <w:t xml:space="preserve">, </w:t>
      </w:r>
      <w:r w:rsidR="00690DB1">
        <w:t xml:space="preserve">accurate </w:t>
      </w:r>
      <w:r w:rsidR="00374363" w:rsidRPr="001A703E">
        <w:t>propagation delay compensation</w:t>
      </w:r>
      <w:r w:rsidR="00BE3ABF">
        <w:t xml:space="preserve"> </w:t>
      </w:r>
      <w:r w:rsidR="00690DB1">
        <w:t xml:space="preserve">and </w:t>
      </w:r>
      <w:r w:rsidR="00BE3ABF">
        <w:t>enhancement</w:t>
      </w:r>
      <w:r w:rsidR="00690DB1">
        <w:t>s</w:t>
      </w:r>
      <w:r w:rsidR="00374363">
        <w:t xml:space="preserve"> </w:t>
      </w:r>
      <w:r w:rsidR="00690DB1">
        <w:t xml:space="preserve">are </w:t>
      </w:r>
      <w:r w:rsidR="00374363">
        <w:t>necessary.</w:t>
      </w:r>
      <w:r w:rsidR="00DC270C">
        <w:t xml:space="preserve"> </w:t>
      </w:r>
      <w:r w:rsidR="00690DB1">
        <w:t xml:space="preserve">It is worth noting that uncompensated </w:t>
      </w:r>
      <w:r w:rsidR="006609E3">
        <w:t xml:space="preserve">propagation delay </w:t>
      </w:r>
      <w:r w:rsidR="00690DB1">
        <w:t xml:space="preserve">error for </w:t>
      </w:r>
      <w:r w:rsidR="005267E9">
        <w:t>ISD=</w:t>
      </w:r>
      <w:r w:rsidR="0065453C">
        <w:t>1</w:t>
      </w:r>
      <w:r w:rsidR="00690DB1">
        <w:t xml:space="preserve">00m alone corresponds to </w:t>
      </w:r>
      <w:r w:rsidR="0065453C">
        <w:t>a third</w:t>
      </w:r>
      <w:r w:rsidR="00690DB1">
        <w:t xml:space="preserve"> of the total end to end </w:t>
      </w:r>
      <w:r w:rsidR="005267E9">
        <w:t xml:space="preserve">error </w:t>
      </w:r>
      <w:r w:rsidR="00690DB1">
        <w:t>budget of 1</w:t>
      </w:r>
      <w:r w:rsidR="00B41AA7" w:rsidRPr="00DD4ECC">
        <w:t>µ</w:t>
      </w:r>
      <w:r w:rsidR="00690DB1">
        <w:t xml:space="preserve">s and as per below the </w:t>
      </w:r>
      <w:proofErr w:type="spellStart"/>
      <w:r w:rsidR="00690DB1">
        <w:t>Uu</w:t>
      </w:r>
      <w:proofErr w:type="spellEnd"/>
      <w:r w:rsidR="00690DB1">
        <w:t xml:space="preserve"> interface can only </w:t>
      </w:r>
      <w:r w:rsidR="003509F7">
        <w:t xml:space="preserve">be </w:t>
      </w:r>
      <w:r w:rsidR="00690DB1">
        <w:t>allocate</w:t>
      </w:r>
      <w:r w:rsidR="003509F7">
        <w:t>d</w:t>
      </w:r>
      <w:r w:rsidR="00690DB1">
        <w:t xml:space="preserve"> a small fraction of total 1</w:t>
      </w:r>
      <w:r w:rsidR="00B41AA7" w:rsidRPr="00DD4ECC">
        <w:t>µ</w:t>
      </w:r>
      <w:r w:rsidR="00690DB1">
        <w:t xml:space="preserve">s budget. </w:t>
      </w:r>
    </w:p>
    <w:p w14:paraId="3AE6CFC8" w14:textId="56DC2A52" w:rsidR="00B4277B" w:rsidRDefault="00B156BA" w:rsidP="00374363">
      <w:pPr>
        <w:pStyle w:val="BodyText"/>
      </w:pPr>
      <w:r>
        <w:t xml:space="preserve">It is worth </w:t>
      </w:r>
      <w:r w:rsidR="00B41AA7">
        <w:t>keeping</w:t>
      </w:r>
      <w:r>
        <w:t xml:space="preserve"> in mind that </w:t>
      </w:r>
      <w:r w:rsidR="002D7F90">
        <w:t>e</w:t>
      </w:r>
      <w:r w:rsidR="00B4277B">
        <w:t xml:space="preserve">xisting TA </w:t>
      </w:r>
      <w:r>
        <w:t>mechanism targets</w:t>
      </w:r>
      <w:r w:rsidR="002D7F90">
        <w:t xml:space="preserve"> another </w:t>
      </w:r>
      <w:r w:rsidR="004E2F66">
        <w:t xml:space="preserve">use case with different target accuracies. It </w:t>
      </w:r>
      <w:r w:rsidR="00340216">
        <w:t xml:space="preserve">targets uplink alignment at the BS </w:t>
      </w:r>
      <w:r w:rsidR="00555A02">
        <w:t xml:space="preserve">for the radio access </w:t>
      </w:r>
      <w:r w:rsidR="00340216">
        <w:t xml:space="preserve">and is designed with an accuracy </w:t>
      </w:r>
      <w:proofErr w:type="gramStart"/>
      <w:r w:rsidR="00F543F8">
        <w:t>sufficient</w:t>
      </w:r>
      <w:proofErr w:type="gramEnd"/>
      <w:r w:rsidR="00F543F8">
        <w:t xml:space="preserve"> to be </w:t>
      </w:r>
      <w:r w:rsidR="00F41549">
        <w:t>a fraction of the CP</w:t>
      </w:r>
      <w:r w:rsidR="00C44953">
        <w:t>. T</w:t>
      </w:r>
      <w:r w:rsidR="00A422A3">
        <w:t xml:space="preserve">he CP at </w:t>
      </w:r>
      <w:r w:rsidR="00291852">
        <w:t>SCS=</w:t>
      </w:r>
      <w:r w:rsidR="00A422A3">
        <w:t xml:space="preserve">15kHz is </w:t>
      </w:r>
      <w:r w:rsidR="00575E41">
        <w:t>~4.7us</w:t>
      </w:r>
      <w:r w:rsidR="00BB6BC3">
        <w:t xml:space="preserve">. Thus for SCS=15 </w:t>
      </w:r>
      <w:proofErr w:type="gramStart"/>
      <w:r w:rsidR="00BB6BC3">
        <w:t>kHz</w:t>
      </w:r>
      <w:r w:rsidR="00291852">
        <w:t xml:space="preserve">, </w:t>
      </w:r>
      <w:r w:rsidR="00575E41">
        <w:t xml:space="preserve"> even</w:t>
      </w:r>
      <w:proofErr w:type="gramEnd"/>
      <w:r w:rsidR="00575E41">
        <w:t xml:space="preserve"> a fraction</w:t>
      </w:r>
      <w:r w:rsidR="00291852">
        <w:t xml:space="preserve"> of CP</w:t>
      </w:r>
      <w:r w:rsidR="00575E41">
        <w:t xml:space="preserve"> would constitute a large part of </w:t>
      </w:r>
      <w:r w:rsidR="009A0B1B">
        <w:t xml:space="preserve">a </w:t>
      </w:r>
      <w:proofErr w:type="spellStart"/>
      <w:r w:rsidR="009A0B1B">
        <w:t>Uu</w:t>
      </w:r>
      <w:proofErr w:type="spellEnd"/>
      <w:r w:rsidR="009A0B1B">
        <w:t xml:space="preserve"> budget share of a total </w:t>
      </w:r>
      <w:r w:rsidR="00C44953">
        <w:t xml:space="preserve">end to end budget of </w:t>
      </w:r>
      <w:r w:rsidR="009A0B1B">
        <w:t>1</w:t>
      </w:r>
      <w:r w:rsidR="00BE4358" w:rsidRPr="00DD4ECC">
        <w:t>µ</w:t>
      </w:r>
      <w:r w:rsidR="009A0B1B">
        <w:t>s</w:t>
      </w:r>
      <w:r w:rsidR="00F41549">
        <w:t xml:space="preserve">. </w:t>
      </w:r>
      <w:r w:rsidR="009252FD">
        <w:t>While</w:t>
      </w:r>
      <w:r w:rsidR="00F50AFF">
        <w:t xml:space="preserve"> the TA accuracy improves at higher SCS (</w:t>
      </w:r>
      <w:r w:rsidR="0099361E">
        <w:t xml:space="preserve">with </w:t>
      </w:r>
      <w:r w:rsidR="00F50AFF">
        <w:t>smaller CP)</w:t>
      </w:r>
      <w:r w:rsidR="009252FD">
        <w:t>,</w:t>
      </w:r>
      <w:r w:rsidR="00695D68">
        <w:t xml:space="preserve"> </w:t>
      </w:r>
      <w:r w:rsidR="00545B63">
        <w:t>E2E</w:t>
      </w:r>
      <w:r w:rsidR="005064F9">
        <w:t xml:space="preserve"> accuracy</w:t>
      </w:r>
      <w:r w:rsidR="00E81031">
        <w:t xml:space="preserve"> of the target use cases</w:t>
      </w:r>
      <w:r w:rsidR="005064F9">
        <w:t xml:space="preserve"> is independent of SCS</w:t>
      </w:r>
      <w:r w:rsidR="0003333A">
        <w:t>. Another observation is,</w:t>
      </w:r>
      <w:r w:rsidR="004001E6">
        <w:t xml:space="preserve"> the largest cells that needs </w:t>
      </w:r>
      <w:r w:rsidR="00AE1CFC">
        <w:t xml:space="preserve">accurate </w:t>
      </w:r>
      <w:r w:rsidR="004001E6">
        <w:t xml:space="preserve">compensation </w:t>
      </w:r>
      <w:r w:rsidR="00AE1CFC">
        <w:t xml:space="preserve">will operate at </w:t>
      </w:r>
      <w:r w:rsidR="00C44953">
        <w:t xml:space="preserve">the </w:t>
      </w:r>
      <w:r w:rsidR="00AE1CFC">
        <w:t>lower SCS</w:t>
      </w:r>
      <w:r w:rsidR="00E0674A">
        <w:t>,</w:t>
      </w:r>
      <w:r w:rsidR="00AE1CFC">
        <w:t xml:space="preserve"> hence </w:t>
      </w:r>
      <w:r w:rsidR="00F543F8">
        <w:t xml:space="preserve">will have worse propagation delay </w:t>
      </w:r>
      <w:r w:rsidR="00A7459D">
        <w:t xml:space="preserve">compensation </w:t>
      </w:r>
      <w:r w:rsidR="00F543F8">
        <w:t xml:space="preserve">performance based on existing </w:t>
      </w:r>
      <w:r w:rsidR="00562229">
        <w:t xml:space="preserve">TA </w:t>
      </w:r>
      <w:r w:rsidR="00F543F8">
        <w:t>methods.</w:t>
      </w:r>
      <w:r w:rsidR="005064F9">
        <w:t xml:space="preserve"> </w:t>
      </w:r>
      <w:r w:rsidR="00F50AFF">
        <w:t xml:space="preserve"> </w:t>
      </w:r>
      <w:r w:rsidR="00F41549">
        <w:t xml:space="preserve"> </w:t>
      </w:r>
    </w:p>
    <w:p w14:paraId="3C736C0A" w14:textId="3304886F" w:rsidR="00FE62F4" w:rsidRDefault="00FE62F4" w:rsidP="00374363">
      <w:pPr>
        <w:pStyle w:val="BodyText"/>
      </w:pPr>
    </w:p>
    <w:p w14:paraId="353344E7" w14:textId="121BB84E" w:rsidR="00FE62F4" w:rsidRDefault="00FE62F4" w:rsidP="00FE62F4">
      <w:pPr>
        <w:pStyle w:val="BodyText"/>
      </w:pPr>
      <w:proofErr w:type="gramStart"/>
      <w:r>
        <w:t>Thus</w:t>
      </w:r>
      <w:proofErr w:type="gramEnd"/>
      <w:r>
        <w:t xml:space="preserve"> the answer to Q2 is:</w:t>
      </w:r>
    </w:p>
    <w:p w14:paraId="4FF2EB22" w14:textId="412DA166" w:rsidR="00FE62F4" w:rsidRPr="00BB244F" w:rsidRDefault="00FE62F4" w:rsidP="00BB244F">
      <w:pPr>
        <w:pStyle w:val="BodyText"/>
        <w:ind w:left="720"/>
        <w:rPr>
          <w:b/>
        </w:rPr>
      </w:pPr>
      <w:r w:rsidRPr="00FE62F4">
        <w:rPr>
          <w:b/>
        </w:rPr>
        <w:t xml:space="preserve">RAN1 see the need for specifying propagation delay compensation requirements </w:t>
      </w:r>
      <w:r w:rsidR="00D74187">
        <w:rPr>
          <w:b/>
        </w:rPr>
        <w:t>and</w:t>
      </w:r>
      <w:r w:rsidRPr="00FE62F4">
        <w:rPr>
          <w:b/>
        </w:rPr>
        <w:t xml:space="preserve"> enhancements in order to meet the </w:t>
      </w:r>
      <w:r w:rsidR="00D74187">
        <w:rPr>
          <w:b/>
        </w:rPr>
        <w:t xml:space="preserve">most stringent </w:t>
      </w:r>
      <w:r w:rsidRPr="00FE62F4">
        <w:rPr>
          <w:b/>
        </w:rPr>
        <w:t>synchronization requirements</w:t>
      </w:r>
      <w:r w:rsidR="00D74187">
        <w:rPr>
          <w:b/>
        </w:rPr>
        <w:t xml:space="preserve"> of &lt;1 </w:t>
      </w:r>
      <w:r w:rsidR="00D74187" w:rsidRPr="00D74187">
        <w:rPr>
          <w:b/>
        </w:rPr>
        <w:t>µs</w:t>
      </w:r>
      <w:r w:rsidR="00D74187">
        <w:rPr>
          <w:b/>
        </w:rPr>
        <w:t xml:space="preserve"> in a large service area</w:t>
      </w:r>
      <w:r>
        <w:rPr>
          <w:b/>
        </w:rPr>
        <w:t xml:space="preserve">. </w:t>
      </w:r>
    </w:p>
    <w:p w14:paraId="6B8F6EB0" w14:textId="77777777" w:rsidR="00B4277B" w:rsidRDefault="00B4277B" w:rsidP="00374363">
      <w:pPr>
        <w:pStyle w:val="BodyText"/>
      </w:pPr>
    </w:p>
    <w:p w14:paraId="238B3F14" w14:textId="2CDD8C8A" w:rsidR="00E60FDB" w:rsidRDefault="00063FC9" w:rsidP="00374363">
      <w:pPr>
        <w:pStyle w:val="BodyText"/>
        <w:rPr>
          <w:color w:val="000000" w:themeColor="text1"/>
        </w:rPr>
      </w:pPr>
      <w:r>
        <w:t>However</w:t>
      </w:r>
      <w:r w:rsidR="00E60FDB">
        <w:t xml:space="preserve">, before RAN1 can start </w:t>
      </w:r>
      <w:r w:rsidR="006464D0">
        <w:t xml:space="preserve">the investigation, it is necessary to obtain information about the </w:t>
      </w:r>
      <w:proofErr w:type="spellStart"/>
      <w:r w:rsidR="006464D0">
        <w:t>Uu</w:t>
      </w:r>
      <w:proofErr w:type="spellEnd"/>
      <w:r w:rsidR="006464D0">
        <w:t xml:space="preserve"> synchronization accuracy target. </w:t>
      </w:r>
      <w:r w:rsidR="00F24D77">
        <w:t xml:space="preserve">As </w:t>
      </w:r>
      <w:r w:rsidR="00CB0244">
        <w:t>stated in TS 22.104</w:t>
      </w:r>
      <w:r w:rsidR="006C68E7">
        <w:t xml:space="preserve"> section </w:t>
      </w:r>
      <w:r w:rsidR="00394F03">
        <w:t>5.6.1</w:t>
      </w:r>
      <w:r w:rsidR="00CB0244">
        <w:t>,</w:t>
      </w:r>
      <w:r w:rsidR="00394F03">
        <w:t xml:space="preserve"> “</w:t>
      </w:r>
      <w:r w:rsidR="00293A16" w:rsidRPr="00293A16">
        <w:t>NOTE 4:</w:t>
      </w:r>
      <w:r w:rsidR="00293A16" w:rsidRPr="00293A16">
        <w:tab/>
        <w:t>The required precision of ≤ 1 µs is between the sync master and any device of the clock domain.</w:t>
      </w:r>
      <w:r w:rsidR="00394F03">
        <w:t>”</w:t>
      </w:r>
      <w:r w:rsidR="00293A16">
        <w:t xml:space="preserve"> Th</w:t>
      </w:r>
      <w:r w:rsidR="00AF2C58">
        <w:t>at is,</w:t>
      </w:r>
      <w:r w:rsidR="00CB0244">
        <w:t xml:space="preserve"> the </w:t>
      </w:r>
      <w:r w:rsidR="00CB0244">
        <w:rPr>
          <w:color w:val="000000" w:themeColor="text1"/>
        </w:rPr>
        <w:t>c</w:t>
      </w:r>
      <w:r w:rsidR="00CB0244" w:rsidRPr="00DD4ECC">
        <w:rPr>
          <w:color w:val="000000" w:themeColor="text1"/>
        </w:rPr>
        <w:t>lock synchronicity requirement</w:t>
      </w:r>
      <w:r w:rsidR="00CB0244">
        <w:rPr>
          <w:color w:val="000000" w:themeColor="text1"/>
        </w:rPr>
        <w:t xml:space="preserve"> </w:t>
      </w:r>
      <w:r>
        <w:rPr>
          <w:color w:val="000000" w:themeColor="text1"/>
        </w:rPr>
        <w:t xml:space="preserve">in </w:t>
      </w:r>
      <w:r w:rsidRPr="00DD4ECC">
        <w:rPr>
          <w:rFonts w:cs="Arial"/>
          <w:color w:val="000000" w:themeColor="text1"/>
        </w:rPr>
        <w:t>TS22.104</w:t>
      </w:r>
      <w:r>
        <w:rPr>
          <w:rFonts w:cs="Arial"/>
          <w:color w:val="000000" w:themeColor="text1"/>
        </w:rPr>
        <w:t xml:space="preserve"> </w:t>
      </w:r>
      <w:r w:rsidRPr="004409FF">
        <w:rPr>
          <w:rFonts w:cs="Arial"/>
          <w:color w:val="000000" w:themeColor="text1"/>
        </w:rPr>
        <w:t>V16.2.0</w:t>
      </w:r>
      <w:r w:rsidRPr="00DD4ECC">
        <w:rPr>
          <w:rFonts w:cs="Arial"/>
          <w:color w:val="000000" w:themeColor="text1"/>
        </w:rPr>
        <w:t xml:space="preserve"> </w:t>
      </w:r>
      <w:r w:rsidRPr="00DD4ECC">
        <w:rPr>
          <w:color w:val="000000" w:themeColor="text1"/>
        </w:rPr>
        <w:t>Table 5.6.2-1</w:t>
      </w:r>
      <w:r w:rsidR="00824439">
        <w:rPr>
          <w:color w:val="000000" w:themeColor="text1"/>
        </w:rPr>
        <w:t xml:space="preserve"> </w:t>
      </w:r>
      <w:r w:rsidR="006C68E7">
        <w:rPr>
          <w:color w:val="000000" w:themeColor="text1"/>
        </w:rPr>
        <w:t xml:space="preserve">refers </w:t>
      </w:r>
      <w:r w:rsidR="0057765A">
        <w:rPr>
          <w:color w:val="000000" w:themeColor="text1"/>
        </w:rPr>
        <w:t xml:space="preserve">to the overall synchronization accuracy, </w:t>
      </w:r>
      <w:r w:rsidR="00903E92">
        <w:rPr>
          <w:color w:val="000000" w:themeColor="text1"/>
        </w:rPr>
        <w:t>where</w:t>
      </w:r>
      <w:r w:rsidR="0057765A">
        <w:rPr>
          <w:color w:val="000000" w:themeColor="text1"/>
        </w:rPr>
        <w:t xml:space="preserve"> </w:t>
      </w:r>
      <w:r w:rsidR="000D1BA5">
        <w:rPr>
          <w:color w:val="000000" w:themeColor="text1"/>
        </w:rPr>
        <w:t xml:space="preserve">the </w:t>
      </w:r>
      <w:proofErr w:type="spellStart"/>
      <w:r w:rsidR="003E7CD2">
        <w:rPr>
          <w:color w:val="000000" w:themeColor="text1"/>
        </w:rPr>
        <w:t>Uu</w:t>
      </w:r>
      <w:proofErr w:type="spellEnd"/>
      <w:r w:rsidR="003E7CD2">
        <w:rPr>
          <w:color w:val="000000" w:themeColor="text1"/>
        </w:rPr>
        <w:t xml:space="preserve"> interface synchronization accuracy</w:t>
      </w:r>
      <w:r w:rsidR="00903E92">
        <w:rPr>
          <w:color w:val="000000" w:themeColor="text1"/>
        </w:rPr>
        <w:t xml:space="preserve"> is </w:t>
      </w:r>
      <w:r w:rsidR="000D1BA5">
        <w:rPr>
          <w:color w:val="000000" w:themeColor="text1"/>
        </w:rPr>
        <w:t xml:space="preserve">only </w:t>
      </w:r>
      <w:r w:rsidR="00903E92">
        <w:rPr>
          <w:color w:val="000000" w:themeColor="text1"/>
        </w:rPr>
        <w:t>one component</w:t>
      </w:r>
      <w:r w:rsidR="005A01E4">
        <w:rPr>
          <w:color w:val="000000" w:themeColor="text1"/>
        </w:rPr>
        <w:t xml:space="preserve"> among many</w:t>
      </w:r>
      <w:r w:rsidR="00903E92">
        <w:rPr>
          <w:color w:val="000000" w:themeColor="text1"/>
        </w:rPr>
        <w:t xml:space="preserve">. The other components should be subtracted in order to obtain the design target of </w:t>
      </w:r>
      <w:proofErr w:type="spellStart"/>
      <w:r w:rsidR="00903E92">
        <w:rPr>
          <w:color w:val="000000" w:themeColor="text1"/>
        </w:rPr>
        <w:t>Uu</w:t>
      </w:r>
      <w:proofErr w:type="spellEnd"/>
      <w:r w:rsidR="00903E92">
        <w:rPr>
          <w:color w:val="000000" w:themeColor="text1"/>
        </w:rPr>
        <w:t xml:space="preserve"> interface clock synchronization accuracy</w:t>
      </w:r>
      <w:r w:rsidR="007178D6">
        <w:rPr>
          <w:color w:val="000000" w:themeColor="text1"/>
        </w:rPr>
        <w:t>. The other components include at least</w:t>
      </w:r>
      <w:r w:rsidR="00D439AC">
        <w:rPr>
          <w:color w:val="000000" w:themeColor="text1"/>
        </w:rPr>
        <w:t xml:space="preserve"> [</w:t>
      </w:r>
      <w:r w:rsidR="00944B72">
        <w:rPr>
          <w:color w:val="000000" w:themeColor="text1"/>
        </w:rPr>
        <w:t>10</w:t>
      </w:r>
      <w:r w:rsidR="00D439AC">
        <w:rPr>
          <w:color w:val="000000" w:themeColor="text1"/>
        </w:rPr>
        <w:t>]</w:t>
      </w:r>
      <w:r w:rsidR="00EC7C6F">
        <w:rPr>
          <w:color w:val="000000" w:themeColor="text1"/>
        </w:rPr>
        <w:t>:</w:t>
      </w:r>
    </w:p>
    <w:p w14:paraId="621ADEE8" w14:textId="271678F3" w:rsidR="00EC7C6F" w:rsidRDefault="00D612EB" w:rsidP="00A65C32">
      <w:pPr>
        <w:pStyle w:val="BodyText"/>
        <w:numPr>
          <w:ilvl w:val="0"/>
          <w:numId w:val="37"/>
        </w:numPr>
      </w:pPr>
      <w:r>
        <w:rPr>
          <w:lang w:val="en-US" w:eastAsia="ja-JP"/>
        </w:rPr>
        <w:t xml:space="preserve">Input to UPF: </w:t>
      </w:r>
      <w:r w:rsidR="00D439AC">
        <w:rPr>
          <w:lang w:val="en-US" w:eastAsia="ja-JP"/>
        </w:rPr>
        <w:t>This covers s</w:t>
      </w:r>
      <w:r w:rsidR="008D26DB" w:rsidRPr="00B72C44">
        <w:rPr>
          <w:lang w:val="en-US" w:eastAsia="ja-JP"/>
        </w:rPr>
        <w:t xml:space="preserve">ynchronization accuracy </w:t>
      </w:r>
      <w:r w:rsidR="00D439AC">
        <w:rPr>
          <w:lang w:val="en-US" w:eastAsia="ja-JP"/>
        </w:rPr>
        <w:t xml:space="preserve">error </w:t>
      </w:r>
      <w:r w:rsidR="008D26DB" w:rsidRPr="00B72C44">
        <w:rPr>
          <w:lang w:val="en-US" w:eastAsia="ja-JP"/>
        </w:rPr>
        <w:t xml:space="preserve">between TSN GM clock and </w:t>
      </w:r>
      <w:r w:rsidR="005A01E4">
        <w:rPr>
          <w:lang w:val="en-US" w:eastAsia="ja-JP"/>
        </w:rPr>
        <w:t>5GS ingress (UPF)</w:t>
      </w:r>
      <w:r w:rsidR="00D439AC">
        <w:rPr>
          <w:lang w:val="en-US" w:eastAsia="ja-JP"/>
        </w:rPr>
        <w:t>, and this part is excluded from 5GS</w:t>
      </w:r>
      <w:r w:rsidR="007D265D">
        <w:t>;</w:t>
      </w:r>
    </w:p>
    <w:p w14:paraId="5429C645" w14:textId="7C15DE2E" w:rsidR="007D265D" w:rsidRDefault="00D612EB" w:rsidP="00A65C32">
      <w:pPr>
        <w:pStyle w:val="BodyText"/>
        <w:numPr>
          <w:ilvl w:val="0"/>
          <w:numId w:val="37"/>
        </w:numPr>
      </w:pPr>
      <w:r>
        <w:rPr>
          <w:lang w:val="en-US" w:eastAsia="ja-JP"/>
        </w:rPr>
        <w:t xml:space="preserve">UPF to </w:t>
      </w:r>
      <w:proofErr w:type="spellStart"/>
      <w:r>
        <w:rPr>
          <w:lang w:val="en-US" w:eastAsia="ja-JP"/>
        </w:rPr>
        <w:t>gNB</w:t>
      </w:r>
      <w:proofErr w:type="spellEnd"/>
      <w:r>
        <w:rPr>
          <w:lang w:val="en-US" w:eastAsia="ja-JP"/>
        </w:rPr>
        <w:t xml:space="preserve">: </w:t>
      </w:r>
      <w:r w:rsidR="00736C7F">
        <w:rPr>
          <w:lang w:val="en-US" w:eastAsia="ja-JP"/>
        </w:rPr>
        <w:t xml:space="preserve">This </w:t>
      </w:r>
      <w:r w:rsidR="0085690E">
        <w:rPr>
          <w:lang w:val="en-US" w:eastAsia="ja-JP"/>
        </w:rPr>
        <w:t>is p</w:t>
      </w:r>
      <w:r w:rsidR="00D439AC">
        <w:rPr>
          <w:lang w:val="en-US" w:eastAsia="ja-JP"/>
        </w:rPr>
        <w:t xml:space="preserve">art of </w:t>
      </w:r>
      <w:proofErr w:type="gramStart"/>
      <w:r w:rsidR="00D439AC">
        <w:rPr>
          <w:lang w:val="en-US" w:eastAsia="ja-JP"/>
        </w:rPr>
        <w:t>5GS</w:t>
      </w:r>
      <w:proofErr w:type="gramEnd"/>
      <w:r w:rsidR="00D439AC">
        <w:rPr>
          <w:lang w:val="en-US" w:eastAsia="ja-JP"/>
        </w:rPr>
        <w:t xml:space="preserve"> and the network interface has s</w:t>
      </w:r>
      <w:r w:rsidR="00E46F63" w:rsidRPr="00B72C44">
        <w:rPr>
          <w:lang w:val="en-US" w:eastAsia="ja-JP"/>
        </w:rPr>
        <w:t>ynchronization accuracy</w:t>
      </w:r>
      <w:r w:rsidR="003960F0">
        <w:t xml:space="preserve"> </w:t>
      </w:r>
      <w:r w:rsidR="00D439AC">
        <w:t>error</w:t>
      </w:r>
      <w:r w:rsidR="00485D09">
        <w:t>;</w:t>
      </w:r>
    </w:p>
    <w:p w14:paraId="39E63C0A" w14:textId="2122432C" w:rsidR="00485D09" w:rsidRPr="0045645E" w:rsidRDefault="00685FB1" w:rsidP="00A65C32">
      <w:pPr>
        <w:pStyle w:val="BodyText"/>
        <w:numPr>
          <w:ilvl w:val="0"/>
          <w:numId w:val="37"/>
        </w:numPr>
      </w:pPr>
      <w:r>
        <w:rPr>
          <w:lang w:val="en-US" w:eastAsia="ja-JP"/>
        </w:rPr>
        <w:t>UE mo</w:t>
      </w:r>
      <w:r w:rsidR="006F45EA">
        <w:rPr>
          <w:lang w:val="en-US" w:eastAsia="ja-JP"/>
        </w:rPr>
        <w:t xml:space="preserve">dem to </w:t>
      </w:r>
      <w:r w:rsidR="00D140C8">
        <w:rPr>
          <w:lang w:val="en-US" w:eastAsia="ja-JP"/>
        </w:rPr>
        <w:t>DS-TT</w:t>
      </w:r>
      <w:r w:rsidR="009D3D4B">
        <w:rPr>
          <w:lang w:val="en-US" w:eastAsia="ja-JP"/>
        </w:rPr>
        <w:t>:</w:t>
      </w:r>
      <w:r w:rsidR="00D439AC">
        <w:rPr>
          <w:lang w:val="en-US" w:eastAsia="ja-JP"/>
        </w:rPr>
        <w:t xml:space="preserve"> This is part of 5GS, </w:t>
      </w:r>
      <w:r w:rsidR="00886675">
        <w:rPr>
          <w:lang w:val="en-US" w:eastAsia="ja-JP"/>
        </w:rPr>
        <w:t xml:space="preserve">and </w:t>
      </w:r>
      <w:r w:rsidR="00D439AC">
        <w:rPr>
          <w:lang w:val="en-US" w:eastAsia="ja-JP"/>
        </w:rPr>
        <w:t xml:space="preserve">can have </w:t>
      </w:r>
      <w:r w:rsidR="00C91EE5">
        <w:rPr>
          <w:lang w:val="en-US" w:eastAsia="ja-JP"/>
        </w:rPr>
        <w:t>implementation errors in the timer</w:t>
      </w:r>
      <w:r w:rsidR="006F45EA">
        <w:rPr>
          <w:lang w:val="en-US" w:eastAsia="ja-JP"/>
        </w:rPr>
        <w:t>;</w:t>
      </w:r>
    </w:p>
    <w:p w14:paraId="0CDB056F" w14:textId="0447D482" w:rsidR="005A01E4" w:rsidRDefault="00D140C8" w:rsidP="00A65C32">
      <w:pPr>
        <w:pStyle w:val="BodyText"/>
        <w:numPr>
          <w:ilvl w:val="0"/>
          <w:numId w:val="37"/>
        </w:numPr>
      </w:pPr>
      <w:r w:rsidDel="00D140C8">
        <w:rPr>
          <w:lang w:eastAsia="ja-JP"/>
        </w:rPr>
        <w:t xml:space="preserve"> </w:t>
      </w:r>
      <w:r w:rsidR="006334B2">
        <w:rPr>
          <w:lang w:eastAsia="ja-JP"/>
        </w:rPr>
        <w:t>DS-TT</w:t>
      </w:r>
      <w:r w:rsidR="005A01E4">
        <w:rPr>
          <w:lang w:eastAsia="ja-JP"/>
        </w:rPr>
        <w:t xml:space="preserve"> </w:t>
      </w:r>
      <w:r w:rsidR="00AA4E64">
        <w:rPr>
          <w:lang w:eastAsia="ja-JP"/>
        </w:rPr>
        <w:t>to</w:t>
      </w:r>
      <w:r w:rsidR="005A01E4">
        <w:rPr>
          <w:lang w:eastAsia="ja-JP"/>
        </w:rPr>
        <w:t xml:space="preserve"> </w:t>
      </w:r>
      <w:r w:rsidR="006334B2">
        <w:rPr>
          <w:lang w:eastAsia="ja-JP"/>
        </w:rPr>
        <w:t xml:space="preserve">TSN </w:t>
      </w:r>
      <w:r w:rsidR="00D439AC">
        <w:rPr>
          <w:lang w:eastAsia="ja-JP"/>
        </w:rPr>
        <w:t>e</w:t>
      </w:r>
      <w:r w:rsidR="005A01E4">
        <w:rPr>
          <w:lang w:eastAsia="ja-JP"/>
        </w:rPr>
        <w:t xml:space="preserve">nd </w:t>
      </w:r>
      <w:r w:rsidR="006334B2">
        <w:rPr>
          <w:lang w:eastAsia="ja-JP"/>
        </w:rPr>
        <w:t>st</w:t>
      </w:r>
      <w:r>
        <w:rPr>
          <w:lang w:eastAsia="ja-JP"/>
        </w:rPr>
        <w:t>ation</w:t>
      </w:r>
      <w:r w:rsidR="009D3D4B">
        <w:rPr>
          <w:lang w:eastAsia="ja-JP"/>
        </w:rPr>
        <w:t>:</w:t>
      </w:r>
      <w:r w:rsidR="006334B2">
        <w:rPr>
          <w:lang w:eastAsia="ja-JP"/>
        </w:rPr>
        <w:t xml:space="preserve"> </w:t>
      </w:r>
      <w:r w:rsidR="00D439AC">
        <w:rPr>
          <w:lang w:eastAsia="ja-JP"/>
        </w:rPr>
        <w:t xml:space="preserve">This is </w:t>
      </w:r>
      <w:r w:rsidR="006334B2">
        <w:rPr>
          <w:lang w:eastAsia="ja-JP"/>
        </w:rPr>
        <w:t>802.1AS</w:t>
      </w:r>
      <w:r w:rsidR="00D439AC">
        <w:rPr>
          <w:lang w:eastAsia="ja-JP"/>
        </w:rPr>
        <w:t xml:space="preserve"> interface, and contributes </w:t>
      </w:r>
      <w:r w:rsidR="00B41706">
        <w:rPr>
          <w:lang w:eastAsia="ja-JP"/>
        </w:rPr>
        <w:t xml:space="preserve">to </w:t>
      </w:r>
      <w:r w:rsidR="00D439AC">
        <w:rPr>
          <w:lang w:eastAsia="ja-JP"/>
        </w:rPr>
        <w:t>synchronization accuracy error;</w:t>
      </w:r>
    </w:p>
    <w:p w14:paraId="47EE0DE2" w14:textId="32A37F59" w:rsidR="005A01E4" w:rsidRPr="006F45EA" w:rsidRDefault="009D3D4B" w:rsidP="00A65C32">
      <w:pPr>
        <w:pStyle w:val="BodyText"/>
        <w:numPr>
          <w:ilvl w:val="0"/>
          <w:numId w:val="37"/>
        </w:numPr>
      </w:pPr>
      <w:r>
        <w:t xml:space="preserve">TSN end station: </w:t>
      </w:r>
      <w:r w:rsidR="00D439AC">
        <w:t>The TSN end station can have i</w:t>
      </w:r>
      <w:r w:rsidR="005A01E4">
        <w:t>nternal errors</w:t>
      </w:r>
      <w:r w:rsidR="00D439AC">
        <w:t>, but it is not part of 5GS.</w:t>
      </w:r>
    </w:p>
    <w:p w14:paraId="1695F271" w14:textId="52B04356" w:rsidR="00D439AC" w:rsidRDefault="00C91EE5" w:rsidP="006F45EA">
      <w:pPr>
        <w:pStyle w:val="BodyText"/>
        <w:rPr>
          <w:lang w:val="en-US" w:eastAsia="ja-JP"/>
        </w:rPr>
      </w:pPr>
      <w:r>
        <w:rPr>
          <w:lang w:val="en-US" w:eastAsia="ja-JP"/>
        </w:rPr>
        <w:t>The figure</w:t>
      </w:r>
      <w:r w:rsidR="00AA4E64">
        <w:rPr>
          <w:lang w:val="en-US" w:eastAsia="ja-JP"/>
        </w:rPr>
        <w:t>s</w:t>
      </w:r>
      <w:r>
        <w:rPr>
          <w:lang w:val="en-US" w:eastAsia="ja-JP"/>
        </w:rPr>
        <w:t xml:space="preserve"> depicting E2E system with components (a)-(e) is presented in Appendix B</w:t>
      </w:r>
      <w:r w:rsidR="00E81F7F">
        <w:rPr>
          <w:lang w:val="en-US" w:eastAsia="ja-JP"/>
        </w:rPr>
        <w:t>, which are copied from TS 23.501</w:t>
      </w:r>
      <w:r>
        <w:rPr>
          <w:lang w:val="en-US" w:eastAsia="ja-JP"/>
        </w:rPr>
        <w:t>.</w:t>
      </w:r>
      <w:r w:rsidR="00D439AC">
        <w:rPr>
          <w:lang w:val="en-US" w:eastAsia="ja-JP"/>
        </w:rPr>
        <w:t xml:space="preserve"> </w:t>
      </w:r>
    </w:p>
    <w:p w14:paraId="22F31352" w14:textId="50F713EE" w:rsidR="006F45EA" w:rsidRDefault="006F45EA" w:rsidP="006F45EA">
      <w:pPr>
        <w:pStyle w:val="BodyText"/>
        <w:rPr>
          <w:lang w:val="en-US" w:eastAsia="ja-JP"/>
        </w:rPr>
      </w:pPr>
      <w:r>
        <w:rPr>
          <w:lang w:val="en-US" w:eastAsia="ja-JP"/>
        </w:rPr>
        <w:t>To obtain information about (a)-(</w:t>
      </w:r>
      <w:r w:rsidR="00AA4E64">
        <w:rPr>
          <w:lang w:val="en-US" w:eastAsia="ja-JP"/>
        </w:rPr>
        <w:t>e</w:t>
      </w:r>
      <w:r>
        <w:rPr>
          <w:lang w:val="en-US" w:eastAsia="ja-JP"/>
        </w:rPr>
        <w:t xml:space="preserve">) above, we recommend that </w:t>
      </w:r>
      <w:proofErr w:type="gramStart"/>
      <w:r>
        <w:rPr>
          <w:lang w:val="en-US" w:eastAsia="ja-JP"/>
        </w:rPr>
        <w:t>an</w:t>
      </w:r>
      <w:proofErr w:type="gramEnd"/>
      <w:r>
        <w:rPr>
          <w:lang w:val="en-US" w:eastAsia="ja-JP"/>
        </w:rPr>
        <w:t xml:space="preserve"> LS is sent to SA1</w:t>
      </w:r>
      <w:r w:rsidR="00824439">
        <w:rPr>
          <w:lang w:val="en-US" w:eastAsia="ja-JP"/>
        </w:rPr>
        <w:t xml:space="preserve"> (</w:t>
      </w:r>
      <w:r w:rsidR="0005078F">
        <w:rPr>
          <w:lang w:val="en-US" w:eastAsia="ja-JP"/>
        </w:rPr>
        <w:t xml:space="preserve">copy </w:t>
      </w:r>
      <w:r w:rsidR="00824439">
        <w:rPr>
          <w:lang w:val="en-US" w:eastAsia="ja-JP"/>
        </w:rPr>
        <w:t xml:space="preserve">RAN2 and </w:t>
      </w:r>
      <w:r w:rsidR="0005078F">
        <w:rPr>
          <w:lang w:val="en-US" w:eastAsia="ja-JP"/>
        </w:rPr>
        <w:t>RAN3</w:t>
      </w:r>
      <w:r w:rsidR="00824439">
        <w:rPr>
          <w:lang w:val="en-US" w:eastAsia="ja-JP"/>
        </w:rPr>
        <w:t>)</w:t>
      </w:r>
      <w:r w:rsidR="0005078F">
        <w:rPr>
          <w:lang w:val="en-US" w:eastAsia="ja-JP"/>
        </w:rPr>
        <w:t>.</w:t>
      </w:r>
    </w:p>
    <w:p w14:paraId="44E6DF40" w14:textId="497497E6" w:rsidR="00C25C1E" w:rsidRDefault="00781611" w:rsidP="00C25C1E">
      <w:pPr>
        <w:pStyle w:val="BodyText"/>
      </w:pPr>
      <w:r>
        <w:t>Furthermore,</w:t>
      </w:r>
      <w:r w:rsidR="00C25C1E">
        <w:t xml:space="preserve"> RAN1 schedule is </w:t>
      </w:r>
      <w:r>
        <w:t>currently</w:t>
      </w:r>
      <w:r w:rsidR="00C25C1E">
        <w:t xml:space="preserve"> fully occupied due to the </w:t>
      </w:r>
      <w:r w:rsidR="00C25C1E" w:rsidRPr="00DC270C">
        <w:t xml:space="preserve">heavy work load of </w:t>
      </w:r>
      <w:r w:rsidR="00C8434D">
        <w:t xml:space="preserve">Rel-16 </w:t>
      </w:r>
      <w:proofErr w:type="spellStart"/>
      <w:r w:rsidR="00C25C1E" w:rsidRPr="00DC270C">
        <w:t>eURLLC</w:t>
      </w:r>
      <w:proofErr w:type="spellEnd"/>
      <w:r w:rsidR="00C25C1E" w:rsidRPr="00DC270C">
        <w:t xml:space="preserve"> and </w:t>
      </w:r>
      <w:proofErr w:type="spellStart"/>
      <w:r w:rsidR="00C25C1E" w:rsidRPr="00DC270C">
        <w:t>IIoT</w:t>
      </w:r>
      <w:proofErr w:type="spellEnd"/>
      <w:r w:rsidR="00C25C1E" w:rsidRPr="00DC270C">
        <w:t xml:space="preserve"> work items.</w:t>
      </w:r>
      <w:r w:rsidR="00C25C1E">
        <w:t xml:space="preserve"> </w:t>
      </w:r>
      <w:proofErr w:type="gramStart"/>
      <w:r w:rsidR="00C8434D">
        <w:t>Hence</w:t>
      </w:r>
      <w:proofErr w:type="gramEnd"/>
      <w:r w:rsidR="00C8434D">
        <w:t xml:space="preserve"> </w:t>
      </w:r>
      <w:r w:rsidR="00C8434D" w:rsidRPr="00DC270C">
        <w:t xml:space="preserve">we do not expect RAN1 to be able to conduct </w:t>
      </w:r>
      <w:r w:rsidR="00FC1818">
        <w:t>synchronization</w:t>
      </w:r>
      <w:r w:rsidR="00C8434D" w:rsidRPr="00DC270C">
        <w:t xml:space="preserve"> investigation within the time frame of Rel-16. </w:t>
      </w:r>
      <w:r w:rsidR="00F519A4">
        <w:t xml:space="preserve">The reasonable approach is, after </w:t>
      </w:r>
      <w:r w:rsidR="00C25C1E">
        <w:t xml:space="preserve">RAN1 </w:t>
      </w:r>
      <w:r w:rsidR="00F519A4">
        <w:t>receiving</w:t>
      </w:r>
      <w:r w:rsidR="00C25C1E">
        <w:t xml:space="preserve"> input from other working groups</w:t>
      </w:r>
      <w:r w:rsidR="00FD28C4">
        <w:t xml:space="preserve"> about the </w:t>
      </w:r>
      <w:proofErr w:type="spellStart"/>
      <w:r w:rsidR="00FD28C4">
        <w:t>Uu</w:t>
      </w:r>
      <w:proofErr w:type="spellEnd"/>
      <w:r w:rsidR="00FD28C4">
        <w:t xml:space="preserve"> interface </w:t>
      </w:r>
      <w:r w:rsidR="00C25C1E">
        <w:t>design target</w:t>
      </w:r>
      <w:r w:rsidR="00257A68">
        <w:t>, RAN1 can start the investigation in</w:t>
      </w:r>
      <w:r w:rsidR="00C25C1E">
        <w:t xml:space="preserve"> Rel-17.</w:t>
      </w:r>
    </w:p>
    <w:p w14:paraId="1BC94D85" w14:textId="77777777" w:rsidR="0005078F" w:rsidRDefault="0005078F" w:rsidP="006F45EA">
      <w:pPr>
        <w:pStyle w:val="BodyText"/>
      </w:pPr>
    </w:p>
    <w:p w14:paraId="697A9D26" w14:textId="3ECD56F6" w:rsidR="0027144F" w:rsidRPr="00CE0424" w:rsidRDefault="00B371DD" w:rsidP="00CE0424">
      <w:pPr>
        <w:pStyle w:val="BodyText"/>
      </w:pPr>
      <w:r>
        <w:t>Based on the discussion above, we have the following proposals.</w:t>
      </w:r>
    </w:p>
    <w:p w14:paraId="1FEB9EC3" w14:textId="23A852C4" w:rsidR="00287838" w:rsidRDefault="008A2965" w:rsidP="00A04F49">
      <w:pPr>
        <w:pStyle w:val="Proposal"/>
      </w:pPr>
      <w:bookmarkStart w:id="4" w:name="_Toc347823621"/>
      <w:bookmarkStart w:id="5" w:name="_Toc347824073"/>
      <w:bookmarkStart w:id="6" w:name="_Toc347824246"/>
      <w:bookmarkStart w:id="7" w:name="_Toc16888252"/>
      <w:r w:rsidRPr="008A2965">
        <w:t xml:space="preserve">RAN1 see the need for specifying propagation delay compensation requirements </w:t>
      </w:r>
      <w:r w:rsidR="00E212FD">
        <w:t>and</w:t>
      </w:r>
      <w:r w:rsidRPr="008A2965">
        <w:t xml:space="preserve"> enhancements in order to meet the synchronization requirements as studied in NR Industrial IoT SI</w:t>
      </w:r>
      <w:r w:rsidR="00CC2011" w:rsidRPr="00A04F49">
        <w:t>.</w:t>
      </w:r>
      <w:bookmarkEnd w:id="4"/>
      <w:bookmarkEnd w:id="5"/>
      <w:bookmarkEnd w:id="6"/>
      <w:bookmarkEnd w:id="7"/>
    </w:p>
    <w:p w14:paraId="4D15C770" w14:textId="0B2CEA36" w:rsidR="007A7C2A" w:rsidRDefault="007A7C2A" w:rsidP="00A04F49">
      <w:pPr>
        <w:pStyle w:val="Proposal"/>
      </w:pPr>
      <w:bookmarkStart w:id="8" w:name="_Toc16888253"/>
      <w:r>
        <w:t xml:space="preserve">RAN1 sends </w:t>
      </w:r>
      <w:proofErr w:type="gramStart"/>
      <w:r>
        <w:t>an</w:t>
      </w:r>
      <w:proofErr w:type="gramEnd"/>
      <w:r>
        <w:t xml:space="preserve"> LS to SA1 (</w:t>
      </w:r>
      <w:r>
        <w:rPr>
          <w:lang w:val="en-US" w:eastAsia="ja-JP"/>
        </w:rPr>
        <w:t xml:space="preserve">copy RAN2 and RAN3) to obtain information about </w:t>
      </w:r>
      <w:r w:rsidR="00045DE6">
        <w:rPr>
          <w:lang w:val="en-US" w:eastAsia="ja-JP"/>
        </w:rPr>
        <w:t>other error components</w:t>
      </w:r>
      <w:r w:rsidR="00F6724E">
        <w:rPr>
          <w:lang w:val="en-US" w:eastAsia="ja-JP"/>
        </w:rPr>
        <w:t xml:space="preserve"> in </w:t>
      </w:r>
      <w:r w:rsidR="00100643">
        <w:rPr>
          <w:lang w:val="en-US" w:eastAsia="ja-JP"/>
        </w:rPr>
        <w:t>clock</w:t>
      </w:r>
      <w:r w:rsidR="00F6724E">
        <w:rPr>
          <w:lang w:val="en-US" w:eastAsia="ja-JP"/>
        </w:rPr>
        <w:t xml:space="preserve"> synchronization</w:t>
      </w:r>
      <w:r w:rsidR="00045DE6">
        <w:rPr>
          <w:lang w:val="en-US" w:eastAsia="ja-JP"/>
        </w:rPr>
        <w:t xml:space="preserve">, so that RAN1 can set the design target </w:t>
      </w:r>
      <w:r w:rsidR="00D4721A">
        <w:rPr>
          <w:lang w:val="en-US" w:eastAsia="ja-JP"/>
        </w:rPr>
        <w:t>for</w:t>
      </w:r>
      <w:r w:rsidR="00045DE6">
        <w:rPr>
          <w:lang w:val="en-US" w:eastAsia="ja-JP"/>
        </w:rPr>
        <w:t xml:space="preserve"> </w:t>
      </w:r>
      <w:proofErr w:type="spellStart"/>
      <w:r w:rsidR="00045DE6">
        <w:rPr>
          <w:lang w:val="en-US" w:eastAsia="ja-JP"/>
        </w:rPr>
        <w:t>Uu</w:t>
      </w:r>
      <w:proofErr w:type="spellEnd"/>
      <w:r w:rsidR="00045DE6">
        <w:rPr>
          <w:lang w:val="en-US" w:eastAsia="ja-JP"/>
        </w:rPr>
        <w:t xml:space="preserve"> synchronization accuracy.</w:t>
      </w:r>
      <w:bookmarkEnd w:id="8"/>
      <w:r>
        <w:rPr>
          <w:lang w:val="en-US" w:eastAsia="ja-JP"/>
        </w:rPr>
        <w:t xml:space="preserve"> </w:t>
      </w:r>
    </w:p>
    <w:p w14:paraId="521FDEA1" w14:textId="3476E52B" w:rsidR="008A2965" w:rsidRDefault="00264FB7" w:rsidP="00A04F49">
      <w:pPr>
        <w:pStyle w:val="Proposal"/>
      </w:pPr>
      <w:bookmarkStart w:id="9" w:name="_Toc16888254"/>
      <w:r>
        <w:t>P</w:t>
      </w:r>
      <w:r w:rsidRPr="008A2965">
        <w:t xml:space="preserve">ropagation delay compensation requirements </w:t>
      </w:r>
      <w:r>
        <w:t>and</w:t>
      </w:r>
      <w:r w:rsidRPr="008A2965">
        <w:t xml:space="preserve"> </w:t>
      </w:r>
      <w:r>
        <w:t xml:space="preserve">other </w:t>
      </w:r>
      <w:r w:rsidRPr="008A2965">
        <w:t>enhancements</w:t>
      </w:r>
      <w:r>
        <w:t xml:space="preserve"> should be included as part of Rel-17 </w:t>
      </w:r>
      <w:proofErr w:type="spellStart"/>
      <w:r>
        <w:t>eURLLC</w:t>
      </w:r>
      <w:proofErr w:type="spellEnd"/>
      <w:r w:rsidR="00C47E47">
        <w:t>/</w:t>
      </w:r>
      <w:proofErr w:type="spellStart"/>
      <w:r w:rsidR="00C47E47">
        <w:t>IIoT</w:t>
      </w:r>
      <w:proofErr w:type="spellEnd"/>
      <w:r>
        <w:t xml:space="preserve"> work.</w:t>
      </w:r>
      <w:bookmarkEnd w:id="9"/>
    </w:p>
    <w:p w14:paraId="687ECD83" w14:textId="3EF4D797" w:rsidR="00264FB7" w:rsidRDefault="00264FB7" w:rsidP="00264FB7">
      <w:pPr>
        <w:pStyle w:val="Proposal"/>
        <w:numPr>
          <w:ilvl w:val="0"/>
          <w:numId w:val="0"/>
        </w:numPr>
        <w:ind w:left="1701" w:hanging="1701"/>
      </w:pPr>
    </w:p>
    <w:p w14:paraId="73D52037" w14:textId="77777777" w:rsidR="006072DB" w:rsidRDefault="006072DB" w:rsidP="006072DB">
      <w:pPr>
        <w:pStyle w:val="Heading2"/>
      </w:pPr>
      <w:r w:rsidRPr="00AC2E99">
        <w:t xml:space="preserve">Combinations of </w:t>
      </w:r>
      <w:proofErr w:type="spellStart"/>
      <w:r w:rsidRPr="00AC2E99">
        <w:t>Uu</w:t>
      </w:r>
      <w:proofErr w:type="spellEnd"/>
      <w:r w:rsidRPr="00AC2E99">
        <w:t xml:space="preserve"> QoS characteristics values for V2X services</w:t>
      </w:r>
    </w:p>
    <w:p w14:paraId="5241C528" w14:textId="77777777" w:rsidR="006072DB" w:rsidRDefault="006072DB" w:rsidP="006072DB">
      <w:pPr>
        <w:pStyle w:val="BodyText"/>
        <w:rPr>
          <w:rFonts w:cs="Arial"/>
          <w:bCs/>
        </w:rPr>
      </w:pPr>
      <w:r>
        <w:t xml:space="preserve">Regarding </w:t>
      </w:r>
      <w:r>
        <w:rPr>
          <w:rFonts w:cs="Arial"/>
          <w:bCs/>
        </w:rPr>
        <w:t xml:space="preserve">combinations of </w:t>
      </w:r>
      <w:proofErr w:type="spellStart"/>
      <w:r>
        <w:rPr>
          <w:rFonts w:cs="Arial"/>
          <w:bCs/>
        </w:rPr>
        <w:t>Uu</w:t>
      </w:r>
      <w:proofErr w:type="spellEnd"/>
      <w:r>
        <w:rPr>
          <w:rFonts w:cs="Arial"/>
          <w:bCs/>
        </w:rPr>
        <w:t xml:space="preserve"> QoS characteristics values for V2X services, two LS are sent back to RAN1 [2][3].</w:t>
      </w:r>
    </w:p>
    <w:p w14:paraId="40356E04" w14:textId="77777777" w:rsidR="006072DB" w:rsidRPr="00AA3E91" w:rsidRDefault="006072DB" w:rsidP="006072DB">
      <w:pPr>
        <w:pStyle w:val="BodyText"/>
        <w:rPr>
          <w:rFonts w:cs="Arial"/>
          <w:bCs/>
        </w:rPr>
      </w:pPr>
      <w:r>
        <w:rPr>
          <w:rFonts w:cs="Arial"/>
          <w:bCs/>
        </w:rPr>
        <w:t xml:space="preserve">SA2 [2] indicated that for both combinations of </w:t>
      </w:r>
      <w:proofErr w:type="spellStart"/>
      <w:r>
        <w:rPr>
          <w:rFonts w:cs="Arial"/>
          <w:bCs/>
        </w:rPr>
        <w:t>Uu</w:t>
      </w:r>
      <w:proofErr w:type="spellEnd"/>
      <w:r>
        <w:rPr>
          <w:rFonts w:cs="Arial"/>
          <w:bCs/>
        </w:rPr>
        <w:t xml:space="preserve"> QoS characteristics values of LS S2-1813386 typical UPF-AN (i.e. Core Network PDB) delays are 1 and 2 </w:t>
      </w:r>
      <w:proofErr w:type="spellStart"/>
      <w:r>
        <w:rPr>
          <w:rFonts w:cs="Arial"/>
          <w:bCs/>
        </w:rPr>
        <w:t>ms</w:t>
      </w:r>
      <w:proofErr w:type="spellEnd"/>
      <w:r>
        <w:rPr>
          <w:rFonts w:cs="Arial"/>
          <w:bCs/>
        </w:rPr>
        <w:t xml:space="preserve"> (see NOTES 4 and 5 of Table 5.7.4-1 in TS 23.501). SA2's understanding is that optimized deployments can support UPF-AN delays (i.e. Core Network PDB) less than 1 </w:t>
      </w:r>
      <w:proofErr w:type="spellStart"/>
      <w:r>
        <w:rPr>
          <w:rFonts w:cs="Arial"/>
          <w:bCs/>
        </w:rPr>
        <w:t>ms</w:t>
      </w:r>
      <w:proofErr w:type="spellEnd"/>
      <w:r>
        <w:rPr>
          <w:rFonts w:cs="Arial"/>
          <w:bCs/>
        </w:rPr>
        <w:t>.</w:t>
      </w:r>
    </w:p>
    <w:p w14:paraId="5CCA6B2A" w14:textId="77777777" w:rsidR="006072DB" w:rsidRDefault="006072DB" w:rsidP="006072DB">
      <w:pPr>
        <w:pStyle w:val="BodyText"/>
      </w:pPr>
      <w:r>
        <w:t xml:space="preserve"> RAN3 [3] indicated that network latency is:</w:t>
      </w:r>
    </w:p>
    <w:p w14:paraId="5C7E10AF" w14:textId="77777777" w:rsidR="006072DB" w:rsidRPr="0093266A" w:rsidRDefault="006072DB" w:rsidP="006072DB">
      <w:pPr>
        <w:pStyle w:val="BodyText"/>
        <w:numPr>
          <w:ilvl w:val="0"/>
          <w:numId w:val="33"/>
        </w:numPr>
      </w:pPr>
      <w:r>
        <w:rPr>
          <w:rFonts w:cs="Arial"/>
        </w:rPr>
        <w:t xml:space="preserve">For the ideal backhaul, the example of latency between </w:t>
      </w:r>
      <w:proofErr w:type="spellStart"/>
      <w:r>
        <w:rPr>
          <w:rFonts w:cs="Arial"/>
        </w:rPr>
        <w:t>eNB</w:t>
      </w:r>
      <w:proofErr w:type="spellEnd"/>
      <w:r>
        <w:rPr>
          <w:rFonts w:cs="Arial"/>
        </w:rPr>
        <w:t xml:space="preserve"> and RRH in TR 36.932 shows that the latency is less than 2.5 us, without considering the propagation delay between the CU and the DU, and between the DU and the remote radio head.</w:t>
      </w:r>
    </w:p>
    <w:p w14:paraId="6B52EF06" w14:textId="77777777" w:rsidR="006072DB" w:rsidRPr="000B2B14" w:rsidRDefault="006072DB" w:rsidP="006072DB">
      <w:pPr>
        <w:pStyle w:val="BodyText"/>
        <w:numPr>
          <w:ilvl w:val="0"/>
          <w:numId w:val="33"/>
        </w:numPr>
      </w:pPr>
      <w:r>
        <w:rPr>
          <w:rFonts w:cs="Arial"/>
        </w:rPr>
        <w:t xml:space="preserve">For the non-ideal backhaul scenarios, the one-way latency 2.5 </w:t>
      </w:r>
      <w:proofErr w:type="spellStart"/>
      <w:r>
        <w:rPr>
          <w:rFonts w:cs="Arial"/>
        </w:rPr>
        <w:t>ms</w:t>
      </w:r>
      <w:proofErr w:type="spellEnd"/>
      <w:r>
        <w:rPr>
          <w:rFonts w:cs="Arial"/>
        </w:rPr>
        <w:t xml:space="preserve"> could be achievable in case that UPF is co-located with CU/DU.</w:t>
      </w:r>
    </w:p>
    <w:p w14:paraId="67A8B722" w14:textId="77777777" w:rsidR="006072DB" w:rsidRDefault="006072DB" w:rsidP="006072DB">
      <w:pPr>
        <w:pStyle w:val="BodyText"/>
        <w:numPr>
          <w:ilvl w:val="0"/>
          <w:numId w:val="33"/>
        </w:numPr>
      </w:pPr>
      <w:r>
        <w:rPr>
          <w:rFonts w:cs="Arial"/>
        </w:rPr>
        <w:t xml:space="preserve">More than 2.5 </w:t>
      </w:r>
      <w:proofErr w:type="spellStart"/>
      <w:r>
        <w:rPr>
          <w:rFonts w:cs="Arial"/>
        </w:rPr>
        <w:t>ms</w:t>
      </w:r>
      <w:proofErr w:type="spellEnd"/>
      <w:r>
        <w:rPr>
          <w:rFonts w:cs="Arial"/>
        </w:rPr>
        <w:t xml:space="preserve"> in case that UPF is not co-located and/or CU/DU far from UPF.</w:t>
      </w:r>
    </w:p>
    <w:p w14:paraId="4E867A3A" w14:textId="77777777" w:rsidR="006072DB" w:rsidRDefault="006072DB" w:rsidP="006072DB">
      <w:pPr>
        <w:pStyle w:val="BodyText"/>
      </w:pPr>
    </w:p>
    <w:p w14:paraId="180BEBF9" w14:textId="77777777" w:rsidR="006072DB" w:rsidRDefault="006072DB" w:rsidP="006072DB">
      <w:pPr>
        <w:pStyle w:val="BodyText"/>
      </w:pPr>
      <w:r>
        <w:t xml:space="preserve">Considering input from SA2 and RAN3, the PDB ~1.5 </w:t>
      </w:r>
      <w:proofErr w:type="spellStart"/>
      <w:r>
        <w:t>ms</w:t>
      </w:r>
      <w:proofErr w:type="spellEnd"/>
      <w:r>
        <w:t xml:space="preserve"> of Combination (2) will be consumed by the summation of UPF-AN delay (SA2, [2]) and network delay (RAN3 [3]). Hence Combination (2) of </w:t>
      </w:r>
      <w:proofErr w:type="spellStart"/>
      <w:r>
        <w:t>Uu</w:t>
      </w:r>
      <w:proofErr w:type="spellEnd"/>
      <w:r>
        <w:t xml:space="preserve"> QoS </w:t>
      </w:r>
      <w:r>
        <w:rPr>
          <w:rFonts w:cs="Arial"/>
          <w:bCs/>
        </w:rPr>
        <w:t>characteristics values are not feasible for V2X services.</w:t>
      </w:r>
    </w:p>
    <w:p w14:paraId="1C686E53" w14:textId="77777777" w:rsidR="006072DB" w:rsidRPr="00024272" w:rsidRDefault="006072DB" w:rsidP="006072DB">
      <w:pPr>
        <w:pStyle w:val="BodyText"/>
        <w:ind w:left="360"/>
        <w:rPr>
          <w:rFonts w:ascii="Times New Roman" w:eastAsia="Calibri" w:hAnsi="Times New Roman"/>
          <w:i/>
          <w:iCs/>
        </w:rPr>
      </w:pPr>
      <w:r w:rsidRPr="00024272">
        <w:rPr>
          <w:rFonts w:ascii="Times New Roman" w:eastAsia="Calibri" w:hAnsi="Times New Roman"/>
          <w:i/>
          <w:iCs/>
        </w:rPr>
        <w:t xml:space="preserve">Combination 2) </w:t>
      </w:r>
      <w:r w:rsidRPr="00024272">
        <w:rPr>
          <w:rFonts w:ascii="Times New Roman" w:eastAsia="Calibri" w:hAnsi="Times New Roman"/>
          <w:i/>
        </w:rPr>
        <w:t xml:space="preserve">PDB ~1.5 </w:t>
      </w:r>
      <w:proofErr w:type="spellStart"/>
      <w:r w:rsidRPr="00024272">
        <w:rPr>
          <w:rFonts w:ascii="Times New Roman" w:eastAsia="Calibri" w:hAnsi="Times New Roman"/>
          <w:i/>
        </w:rPr>
        <w:t>ms</w:t>
      </w:r>
      <w:proofErr w:type="spellEnd"/>
      <w:r w:rsidRPr="00024272">
        <w:rPr>
          <w:rFonts w:ascii="Times New Roman" w:eastAsia="Calibri" w:hAnsi="Times New Roman"/>
          <w:i/>
        </w:rPr>
        <w:t>, PER=10</w:t>
      </w:r>
      <w:r w:rsidRPr="00024272">
        <w:rPr>
          <w:rFonts w:ascii="Times New Roman" w:eastAsia="Calibri" w:hAnsi="Times New Roman"/>
          <w:i/>
          <w:vertAlign w:val="superscript"/>
        </w:rPr>
        <w:t>-5</w:t>
      </w:r>
      <w:r w:rsidRPr="00024272">
        <w:rPr>
          <w:rFonts w:ascii="Times New Roman" w:eastAsia="Calibri" w:hAnsi="Times New Roman"/>
          <w:i/>
        </w:rPr>
        <w:t xml:space="preserve"> and MDBV ~1300 bytes</w:t>
      </w:r>
      <w:r w:rsidRPr="00024272">
        <w:rPr>
          <w:rFonts w:ascii="Times New Roman" w:eastAsia="Calibri" w:hAnsi="Times New Roman"/>
          <w:i/>
          <w:iCs/>
        </w:rPr>
        <w:t xml:space="preserve"> (e.g., for </w:t>
      </w:r>
      <w:r w:rsidRPr="00024272">
        <w:rPr>
          <w:rFonts w:ascii="Times New Roman" w:eastAsia="Calibri" w:hAnsi="Times New Roman"/>
          <w:i/>
        </w:rPr>
        <w:t xml:space="preserve">Emergency Trajectory Alignment and Sensors information Sharing with high </w:t>
      </w:r>
      <w:proofErr w:type="spellStart"/>
      <w:r w:rsidRPr="00024272">
        <w:rPr>
          <w:rFonts w:ascii="Times New Roman" w:eastAsia="Calibri" w:hAnsi="Times New Roman"/>
          <w:i/>
        </w:rPr>
        <w:t>LoA</w:t>
      </w:r>
      <w:proofErr w:type="spellEnd"/>
      <w:r w:rsidRPr="00024272">
        <w:rPr>
          <w:rFonts w:ascii="Times New Roman" w:eastAsia="Calibri" w:hAnsi="Times New Roman"/>
          <w:i/>
        </w:rPr>
        <w:t>)</w:t>
      </w:r>
      <w:r w:rsidRPr="00024272">
        <w:rPr>
          <w:rFonts w:ascii="Times New Roman" w:eastAsia="Calibri" w:hAnsi="Times New Roman"/>
          <w:i/>
          <w:iCs/>
        </w:rPr>
        <w:t>.</w:t>
      </w:r>
    </w:p>
    <w:p w14:paraId="6D5D28D6" w14:textId="77777777" w:rsidR="006072DB" w:rsidRDefault="006072DB" w:rsidP="006072DB">
      <w:pPr>
        <w:pStyle w:val="BodyText"/>
        <w:rPr>
          <w:rFonts w:eastAsia="Calibri" w:cs="Arial"/>
          <w:iCs/>
        </w:rPr>
      </w:pPr>
    </w:p>
    <w:p w14:paraId="29F48CE9" w14:textId="697C0122" w:rsidR="006072DB" w:rsidRPr="00BE7E53" w:rsidRDefault="006072DB" w:rsidP="006072DB">
      <w:pPr>
        <w:pStyle w:val="Proposal"/>
      </w:pPr>
      <w:bookmarkStart w:id="10" w:name="_Toc16542918"/>
      <w:bookmarkStart w:id="11" w:name="_Toc16888255"/>
      <w:r>
        <w:t xml:space="preserve">Combination (2) of </w:t>
      </w:r>
      <w:proofErr w:type="spellStart"/>
      <w:r>
        <w:t>Uu</w:t>
      </w:r>
      <w:proofErr w:type="spellEnd"/>
      <w:r>
        <w:t xml:space="preserve"> QoS </w:t>
      </w:r>
      <w:r w:rsidRPr="00BE7E53">
        <w:t xml:space="preserve">characteristics values </w:t>
      </w:r>
      <w:r w:rsidR="002E7B47">
        <w:t>is</w:t>
      </w:r>
      <w:r w:rsidRPr="00BE7E53">
        <w:t xml:space="preserve"> not feasible for V2X services</w:t>
      </w:r>
      <w:r>
        <w:t>.</w:t>
      </w:r>
      <w:bookmarkEnd w:id="10"/>
      <w:bookmarkEnd w:id="11"/>
    </w:p>
    <w:p w14:paraId="25CE812A" w14:textId="77777777" w:rsidR="006072DB" w:rsidRDefault="006072DB" w:rsidP="006072DB">
      <w:pPr>
        <w:pStyle w:val="Heading2"/>
      </w:pPr>
      <w:r>
        <w:t>M</w:t>
      </w:r>
      <w:r w:rsidRPr="00AC2E99">
        <w:t>aximum value of MDBV</w:t>
      </w:r>
    </w:p>
    <w:p w14:paraId="7E3DFCC6" w14:textId="77777777" w:rsidR="006072DB" w:rsidRDefault="006072DB" w:rsidP="006072DB">
      <w:pPr>
        <w:pStyle w:val="BodyText"/>
      </w:pPr>
      <w:r>
        <w:t xml:space="preserve">SA2 sent </w:t>
      </w:r>
      <w:proofErr w:type="gramStart"/>
      <w:r>
        <w:t>an</w:t>
      </w:r>
      <w:proofErr w:type="gramEnd"/>
      <w:r>
        <w:t xml:space="preserve"> LS [4] to RAN1 and RAN2 about maximum value of MDBV </w:t>
      </w:r>
      <w:r w:rsidRPr="007748FA">
        <w:t>for delay critical GBR 5QIs in Table 5.7.4-1 of TS 23.501</w:t>
      </w:r>
      <w:r>
        <w:t xml:space="preserve">. </w:t>
      </w:r>
    </w:p>
    <w:p w14:paraId="2B1733F0" w14:textId="77777777" w:rsidR="006072DB" w:rsidRPr="008C4F75" w:rsidRDefault="006072DB" w:rsidP="006072DB">
      <w:pPr>
        <w:spacing w:after="120"/>
        <w:ind w:left="567"/>
        <w:rPr>
          <w:rFonts w:ascii="Arial" w:hAnsi="Arial" w:cs="Arial"/>
          <w:i/>
          <w:color w:val="0070C0"/>
          <w:lang w:eastAsia="zh-CN"/>
        </w:rPr>
      </w:pPr>
      <w:r w:rsidRPr="008C4F75">
        <w:rPr>
          <w:rFonts w:ascii="Arial" w:hAnsi="Arial" w:cs="Arial"/>
          <w:b/>
          <w:i/>
          <w:color w:val="0070C0"/>
          <w:lang w:eastAsia="zh-CN"/>
        </w:rPr>
        <w:t xml:space="preserve">ACTION: </w:t>
      </w:r>
      <w:r w:rsidRPr="008C4F75">
        <w:rPr>
          <w:rFonts w:ascii="Arial" w:hAnsi="Arial" w:cs="Arial"/>
          <w:i/>
          <w:color w:val="0070C0"/>
          <w:lang w:eastAsia="zh-CN"/>
        </w:rPr>
        <w:t xml:space="preserve">SA2 requests RAN1 and RAN2 to provide information on whether increasing the MDBV by the suggested value of 500 times (to 127kbytes and 677 </w:t>
      </w:r>
      <w:proofErr w:type="spellStart"/>
      <w:r w:rsidRPr="008C4F75">
        <w:rPr>
          <w:rFonts w:ascii="Arial" w:hAnsi="Arial" w:cs="Arial"/>
          <w:i/>
          <w:color w:val="0070C0"/>
          <w:lang w:eastAsia="zh-CN"/>
        </w:rPr>
        <w:t>kbytes</w:t>
      </w:r>
      <w:proofErr w:type="spellEnd"/>
      <w:r w:rsidRPr="008C4F75">
        <w:rPr>
          <w:rFonts w:ascii="Arial" w:hAnsi="Arial" w:cs="Arial"/>
          <w:i/>
          <w:color w:val="0070C0"/>
          <w:lang w:eastAsia="zh-CN"/>
        </w:rPr>
        <w:t xml:space="preserve"> for “typical” values) will cause any issues in RAN and if it will, to recommend some “typical” and “maximum” values of MDBV that can be acceptable to RAN1 and RAN2.</w:t>
      </w:r>
    </w:p>
    <w:p w14:paraId="34304957" w14:textId="60396A05" w:rsidR="006072DB" w:rsidRDefault="006072DB" w:rsidP="006072DB">
      <w:pPr>
        <w:pStyle w:val="BodyText"/>
      </w:pPr>
    </w:p>
    <w:p w14:paraId="15A51A03" w14:textId="1DF118CD" w:rsidR="0073123D" w:rsidRDefault="0073123D" w:rsidP="006072DB">
      <w:pPr>
        <w:pStyle w:val="BodyText"/>
      </w:pPr>
      <w:r>
        <w:t xml:space="preserve">First, procedure-wise, we note that the MDBV values in the existing </w:t>
      </w:r>
      <w:r w:rsidR="00784253">
        <w:t>table of TS 23.501 cannot be changed after the specification is frozen. These MDBV values are not erro</w:t>
      </w:r>
      <w:r w:rsidR="00DC3B4B">
        <w:t xml:space="preserve">neous. If any new MDBV values are </w:t>
      </w:r>
      <w:proofErr w:type="gramStart"/>
      <w:r w:rsidR="0094462B">
        <w:t>really necessary</w:t>
      </w:r>
      <w:proofErr w:type="gramEnd"/>
      <w:r w:rsidR="0094462B">
        <w:t>, they should be added to the table as new 5QI entries</w:t>
      </w:r>
      <w:r w:rsidR="007E7AAA">
        <w:t>, rather than replacing existing values</w:t>
      </w:r>
      <w:r w:rsidR="0094462B">
        <w:t>.</w:t>
      </w:r>
    </w:p>
    <w:p w14:paraId="4A0520EA" w14:textId="37335899" w:rsidR="0073123D" w:rsidRPr="00CE0424" w:rsidRDefault="0073123D" w:rsidP="0073123D">
      <w:pPr>
        <w:pStyle w:val="Observation"/>
      </w:pPr>
      <w:bookmarkStart w:id="12" w:name="_Toc347823812"/>
      <w:bookmarkStart w:id="13" w:name="_Toc347823993"/>
      <w:bookmarkStart w:id="14" w:name="_Toc347824244"/>
      <w:bookmarkStart w:id="15" w:name="_Toc16542910"/>
      <w:bookmarkStart w:id="16" w:name="_Toc16888258"/>
      <w:r>
        <w:t xml:space="preserve">Existing </w:t>
      </w:r>
      <w:r w:rsidR="0070136A">
        <w:t xml:space="preserve">MDBV </w:t>
      </w:r>
      <w:r>
        <w:t xml:space="preserve">values in </w:t>
      </w:r>
      <w:r w:rsidRPr="007748FA">
        <w:t>Table 5.7.4-1 of TS 23.501</w:t>
      </w:r>
      <w:r>
        <w:t xml:space="preserve"> cannot be </w:t>
      </w:r>
      <w:r w:rsidR="007240AB">
        <w:t>replaced</w:t>
      </w:r>
      <w:r>
        <w:t xml:space="preserve"> </w:t>
      </w:r>
      <w:proofErr w:type="gramStart"/>
      <w:r>
        <w:t>due to the fact that</w:t>
      </w:r>
      <w:proofErr w:type="gramEnd"/>
      <w:r>
        <w:t xml:space="preserve"> the specification is frozen. If any new MDBV values are desired, then new 5QI entries need to be added.</w:t>
      </w:r>
      <w:bookmarkEnd w:id="12"/>
      <w:bookmarkEnd w:id="13"/>
      <w:bookmarkEnd w:id="14"/>
      <w:bookmarkEnd w:id="15"/>
      <w:bookmarkEnd w:id="16"/>
    </w:p>
    <w:p w14:paraId="41CC933D" w14:textId="77777777" w:rsidR="0073123D" w:rsidRDefault="0073123D" w:rsidP="0073123D">
      <w:pPr>
        <w:pStyle w:val="BodyText"/>
      </w:pPr>
    </w:p>
    <w:p w14:paraId="7B3C03FE" w14:textId="5AF301EA" w:rsidR="006072DB" w:rsidRDefault="00A62629" w:rsidP="006072DB">
      <w:pPr>
        <w:pStyle w:val="BodyText"/>
      </w:pPr>
      <w:r>
        <w:t>Secondly, t</w:t>
      </w:r>
      <w:r w:rsidR="00C01581">
        <w:t>racing</w:t>
      </w:r>
      <w:r w:rsidR="00B66750">
        <w:t xml:space="preserve"> the existing MDBV values in the standardized 5QI table for delay critical GBR, t</w:t>
      </w:r>
      <w:r w:rsidR="006072DB">
        <w:t>he MDBV values of 255 bytes and 1354 bytes were first introduced to TS 23.203 QCI table for LTE by S2-179597 and S2-182729. Then the TS 23.203 QCI table was mapped to NR TS 23.501 5QI table by S2-187602.</w:t>
      </w:r>
      <w:r w:rsidR="002E4065">
        <w:t xml:space="preserve"> </w:t>
      </w:r>
      <w:r w:rsidR="006072DB">
        <w:t>The existing MDBV values of 255</w:t>
      </w:r>
      <w:r w:rsidR="00C01581">
        <w:t xml:space="preserve"> bytes</w:t>
      </w:r>
      <w:r w:rsidR="006072DB">
        <w:t xml:space="preserve"> and 1354</w:t>
      </w:r>
      <w:r w:rsidR="00C01581">
        <w:t xml:space="preserve"> bytes</w:t>
      </w:r>
      <w:r w:rsidR="006072DB">
        <w:t xml:space="preserve"> are based on size of a single packet:</w:t>
      </w:r>
    </w:p>
    <w:p w14:paraId="48721917" w14:textId="78827A8B" w:rsidR="006072DB" w:rsidRDefault="00C01581" w:rsidP="006072DB">
      <w:pPr>
        <w:pStyle w:val="BodyText"/>
        <w:numPr>
          <w:ilvl w:val="0"/>
          <w:numId w:val="31"/>
        </w:numPr>
      </w:pPr>
      <w:r>
        <w:t xml:space="preserve">Value </w:t>
      </w:r>
      <w:r w:rsidR="006072DB">
        <w:t>255</w:t>
      </w:r>
      <w:r>
        <w:t xml:space="preserve"> byte</w:t>
      </w:r>
      <w:r w:rsidR="006072DB">
        <w:t xml:space="preserve"> is from “Discrete Automation (TS 22.261 [AA], table 7.2.2-1, row 2, “small packets”)” according to S2-179597. TS 22.261 gives “NOTE 5:             Small: payload typically ≤ 256 bytes”</w:t>
      </w:r>
    </w:p>
    <w:p w14:paraId="5C395DE5" w14:textId="2D0C1828" w:rsidR="006072DB" w:rsidRDefault="009A4DF8" w:rsidP="006072DB">
      <w:pPr>
        <w:pStyle w:val="BodyText"/>
        <w:numPr>
          <w:ilvl w:val="0"/>
          <w:numId w:val="31"/>
        </w:numPr>
      </w:pPr>
      <w:r>
        <w:t xml:space="preserve">Value </w:t>
      </w:r>
      <w:r w:rsidR="006072DB">
        <w:t>1354</w:t>
      </w:r>
      <w:r>
        <w:t xml:space="preserve"> byte</w:t>
      </w:r>
      <w:r w:rsidR="006072DB">
        <w:t xml:space="preserve"> is derived from one IP packet of max size 1500 byte. S2-187602: “(the value is calculated as in Annex C of TS 23.060 [56] and further reduced by 4 bytes to allow for the usage of a GTP-U extension header)”.</w:t>
      </w:r>
    </w:p>
    <w:p w14:paraId="1FD41287" w14:textId="77777777" w:rsidR="006072DB" w:rsidRDefault="006072DB" w:rsidP="006072DB">
      <w:pPr>
        <w:pStyle w:val="BodyText"/>
      </w:pPr>
    </w:p>
    <w:p w14:paraId="25D793F2" w14:textId="77777777" w:rsidR="006072DB" w:rsidRDefault="006072DB" w:rsidP="006072DB">
      <w:pPr>
        <w:pStyle w:val="BodyText"/>
      </w:pPr>
      <w:r>
        <w:t xml:space="preserve">Correspondingly, the PDB is based on the end-to-end latency of one packet (TS 22.261, table 7.2.2-1).  Additionally, when jitter is large, PDB is the summation of end-to-end latency and jitter, see S2-182729, which provides the PDB=30ms = 10ms (latency) + 20ms (jitter) for 5QI=84.  </w:t>
      </w:r>
    </w:p>
    <w:p w14:paraId="5A5368A7" w14:textId="77777777" w:rsidR="006072DB" w:rsidRDefault="006072DB" w:rsidP="006072DB">
      <w:pPr>
        <w:pStyle w:val="BodyText"/>
      </w:pPr>
    </w:p>
    <w:p w14:paraId="4CE2C248" w14:textId="2E0B17B5" w:rsidR="006072DB" w:rsidRDefault="006072DB" w:rsidP="006072DB">
      <w:pPr>
        <w:pStyle w:val="BodyText"/>
      </w:pPr>
      <w:r>
        <w:t xml:space="preserve">Thus, the existing MDBV and PDB values </w:t>
      </w:r>
      <w:r w:rsidR="00E24F0F">
        <w:t>were</w:t>
      </w:r>
      <w:r w:rsidR="0002078C">
        <w:t xml:space="preserve"> obtained based on </w:t>
      </w:r>
      <w:r w:rsidR="009E5DB3">
        <w:t>transmi</w:t>
      </w:r>
      <w:r w:rsidR="00E24F0F">
        <w:t>ssion of</w:t>
      </w:r>
      <w:r w:rsidR="009E5DB3">
        <w:t xml:space="preserve"> </w:t>
      </w:r>
      <w:r w:rsidR="0002078C">
        <w:t>one packet</w:t>
      </w:r>
      <w:r w:rsidR="009E5DB3">
        <w:t>, whose reliability a</w:t>
      </w:r>
      <w:r w:rsidR="00416553">
        <w:t>n</w:t>
      </w:r>
      <w:r w:rsidR="009E5DB3">
        <w:t xml:space="preserve">d latency </w:t>
      </w:r>
      <w:r w:rsidR="009853E7">
        <w:t xml:space="preserve">requirements </w:t>
      </w:r>
      <w:r w:rsidR="009E5DB3">
        <w:t>are gu</w:t>
      </w:r>
      <w:r w:rsidR="00E24F0F">
        <w:t xml:space="preserve">aranteed. They </w:t>
      </w:r>
      <w:r>
        <w:t>were not intended to be used to derive the typical data rate, as done in [4]. It is reasonable how the existing MDBV and PDB values were defined.</w:t>
      </w:r>
    </w:p>
    <w:p w14:paraId="32442869" w14:textId="77777777" w:rsidR="006072DB" w:rsidRDefault="006072DB" w:rsidP="006072DB">
      <w:pPr>
        <w:pStyle w:val="BodyText"/>
      </w:pPr>
    </w:p>
    <w:p w14:paraId="7BCF1F54" w14:textId="470A0C25" w:rsidR="006072DB" w:rsidRDefault="006072DB" w:rsidP="006072DB">
      <w:pPr>
        <w:pStyle w:val="BodyText"/>
      </w:pPr>
      <w:r>
        <w:t xml:space="preserve">Additionally, the MDBV and PDB values in the 5QI table are intended to be default values which </w:t>
      </w:r>
      <w:r w:rsidRPr="00301C98">
        <w:t>can be supported also on cell edge</w:t>
      </w:r>
      <w:r>
        <w:t xml:space="preserve">. In many typical deployments, the increase of current default MDBV values </w:t>
      </w:r>
      <w:r w:rsidR="00654CEB">
        <w:t xml:space="preserve">by, </w:t>
      </w:r>
      <w:r>
        <w:t>e.g. 500 times</w:t>
      </w:r>
      <w:r w:rsidR="00654CEB">
        <w:t>,</w:t>
      </w:r>
      <w:r>
        <w:t xml:space="preserve"> in 5QI table will lead to a situation that these 5QI entries will not be usable because RAN is not able to guarantee such extreme QoS</w:t>
      </w:r>
      <w:r w:rsidR="006F3FCF">
        <w:t xml:space="preserve"> for (almost) all UEs in the cell</w:t>
      </w:r>
      <w:r>
        <w:t>. Beyond the standard 5QI values, o</w:t>
      </w:r>
      <w:r w:rsidRPr="006E5761">
        <w:t xml:space="preserve">perators </w:t>
      </w:r>
      <w:r>
        <w:t xml:space="preserve">can </w:t>
      </w:r>
      <w:r w:rsidRPr="006E5761">
        <w:t xml:space="preserve">introduce </w:t>
      </w:r>
      <w:r w:rsidRPr="006E5761">
        <w:lastRenderedPageBreak/>
        <w:t>dedicated deployments that support larger MDBV values</w:t>
      </w:r>
      <w:r>
        <w:t>. However,</w:t>
      </w:r>
      <w:r w:rsidRPr="006E5761">
        <w:t xml:space="preserve"> such QoS profiles are assumed to be operator specific and thus not </w:t>
      </w:r>
      <w:r>
        <w:t>captured</w:t>
      </w:r>
      <w:r w:rsidRPr="006E5761">
        <w:t xml:space="preserve"> in 23.501.</w:t>
      </w:r>
    </w:p>
    <w:p w14:paraId="53F1DBE4" w14:textId="77777777" w:rsidR="006072DB" w:rsidRDefault="006072DB" w:rsidP="006072DB">
      <w:pPr>
        <w:pStyle w:val="BodyText"/>
      </w:pPr>
    </w:p>
    <w:p w14:paraId="008D95C5" w14:textId="6E0E1E47" w:rsidR="006072DB" w:rsidRDefault="006072DB" w:rsidP="006072DB">
      <w:pPr>
        <w:pStyle w:val="BodyText"/>
      </w:pPr>
      <w:r>
        <w:t>In conclusion, we do not see any need to introduce new values for MDBV</w:t>
      </w:r>
      <w:r w:rsidR="00E076C3">
        <w:t xml:space="preserve"> in the 5QI table</w:t>
      </w:r>
      <w:r w:rsidR="00FF2679">
        <w:t xml:space="preserve"> of TS 23.501</w:t>
      </w:r>
      <w:r>
        <w:t>.</w:t>
      </w:r>
    </w:p>
    <w:p w14:paraId="52B7552C" w14:textId="77777777" w:rsidR="006072DB" w:rsidRDefault="006072DB" w:rsidP="006072DB">
      <w:pPr>
        <w:pStyle w:val="BodyText"/>
      </w:pPr>
    </w:p>
    <w:p w14:paraId="188304DA" w14:textId="77777777" w:rsidR="006072DB" w:rsidRDefault="006072DB" w:rsidP="006072DB">
      <w:pPr>
        <w:pStyle w:val="Proposal"/>
        <w:tabs>
          <w:tab w:val="clear" w:pos="1304"/>
        </w:tabs>
        <w:ind w:left="1701" w:hanging="1701"/>
      </w:pPr>
      <w:bookmarkStart w:id="17" w:name="_Toc16542919"/>
      <w:bookmarkStart w:id="18" w:name="_Toc16888256"/>
      <w:r>
        <w:t xml:space="preserve">No new MDBV values are introduced for </w:t>
      </w:r>
      <w:r w:rsidRPr="007748FA">
        <w:t>delay critical GBR 5QIs in Table 5.7.4-1 of TS 23.501</w:t>
      </w:r>
      <w:r>
        <w:t>.</w:t>
      </w:r>
      <w:bookmarkEnd w:id="17"/>
      <w:bookmarkEnd w:id="18"/>
      <w:r>
        <w:t xml:space="preserve"> </w:t>
      </w:r>
    </w:p>
    <w:p w14:paraId="755DD8F6" w14:textId="77777777" w:rsidR="006072DB" w:rsidRPr="005E4A86" w:rsidRDefault="006072DB" w:rsidP="006072DB">
      <w:pPr>
        <w:rPr>
          <w:rFonts w:cs="Arial"/>
        </w:rPr>
      </w:pPr>
    </w:p>
    <w:p w14:paraId="2C59574B" w14:textId="1E676438" w:rsidR="006072DB" w:rsidRDefault="006072DB" w:rsidP="006072DB">
      <w:r w:rsidRPr="00DA1411">
        <w:rPr>
          <w:rFonts w:ascii="Arial" w:hAnsi="Arial" w:cs="Arial"/>
        </w:rPr>
        <w:t>A</w:t>
      </w:r>
      <w:r>
        <w:rPr>
          <w:rFonts w:ascii="Arial" w:hAnsi="Arial" w:cs="Arial"/>
        </w:rPr>
        <w:t xml:space="preserve">part </w:t>
      </w:r>
      <w:r w:rsidR="00941D2C">
        <w:rPr>
          <w:rFonts w:ascii="Arial" w:hAnsi="Arial" w:cs="Arial"/>
        </w:rPr>
        <w:t>from</w:t>
      </w:r>
      <w:r>
        <w:rPr>
          <w:rFonts w:ascii="Arial" w:hAnsi="Arial" w:cs="Arial"/>
        </w:rPr>
        <w:t xml:space="preserve"> typical MDBV, SA2 is asking about maximum possible value for MDBV which currently can be signalled as </w:t>
      </w:r>
      <w:r w:rsidRPr="00C56FE6">
        <w:rPr>
          <w:rFonts w:ascii="Arial" w:hAnsi="Arial" w:cs="Arial"/>
        </w:rPr>
        <w:t>409</w:t>
      </w:r>
      <w:r>
        <w:rPr>
          <w:rFonts w:ascii="Arial" w:hAnsi="Arial" w:cs="Arial"/>
        </w:rPr>
        <w:t>5</w:t>
      </w:r>
      <w:r w:rsidRPr="00C56FE6">
        <w:rPr>
          <w:rFonts w:ascii="Arial" w:hAnsi="Arial" w:cs="Arial"/>
        </w:rPr>
        <w:t xml:space="preserve"> bytes</w:t>
      </w:r>
      <w:r>
        <w:rPr>
          <w:rFonts w:ascii="Arial" w:hAnsi="Arial" w:cs="Arial"/>
        </w:rPr>
        <w:t>. According to our understanding the resulting bitrate for delay critical GBR QoS flow depends on PDB and MDBV. In the latest version of TS38.413 they are defined as following: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072DB" w14:paraId="092F6D47" w14:textId="77777777" w:rsidTr="00252EA7">
        <w:tc>
          <w:tcPr>
            <w:tcW w:w="2448" w:type="dxa"/>
            <w:tcBorders>
              <w:top w:val="single" w:sz="4" w:space="0" w:color="auto"/>
              <w:left w:val="single" w:sz="4" w:space="0" w:color="auto"/>
              <w:bottom w:val="single" w:sz="4" w:space="0" w:color="auto"/>
              <w:right w:val="single" w:sz="4" w:space="0" w:color="auto"/>
            </w:tcBorders>
            <w:hideMark/>
          </w:tcPr>
          <w:p w14:paraId="7A76B0E2" w14:textId="77777777" w:rsidR="006072DB" w:rsidRDefault="006072DB" w:rsidP="00252EA7">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66CC9BC" w14:textId="77777777" w:rsidR="006072DB" w:rsidRDefault="006072DB" w:rsidP="00252EA7">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684000D" w14:textId="77777777" w:rsidR="006072DB" w:rsidRDefault="006072DB" w:rsidP="00252EA7">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102A288" w14:textId="77777777" w:rsidR="006072DB" w:rsidRDefault="006072DB" w:rsidP="00252EA7">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D21EA8A" w14:textId="77777777" w:rsidR="006072DB" w:rsidRDefault="006072DB" w:rsidP="00252EA7">
            <w:pPr>
              <w:pStyle w:val="TAH"/>
              <w:rPr>
                <w:rFonts w:cs="Arial"/>
                <w:lang w:eastAsia="ja-JP"/>
              </w:rPr>
            </w:pPr>
            <w:r>
              <w:rPr>
                <w:rFonts w:cs="Arial"/>
                <w:lang w:eastAsia="ja-JP"/>
              </w:rPr>
              <w:t>Semantics description</w:t>
            </w:r>
          </w:p>
        </w:tc>
      </w:tr>
      <w:tr w:rsidR="006072DB" w:rsidRPr="00A0163D" w14:paraId="1CC260B4" w14:textId="77777777" w:rsidTr="00252EA7">
        <w:tc>
          <w:tcPr>
            <w:tcW w:w="2448" w:type="dxa"/>
            <w:tcBorders>
              <w:top w:val="single" w:sz="4" w:space="0" w:color="auto"/>
              <w:left w:val="single" w:sz="4" w:space="0" w:color="auto"/>
              <w:bottom w:val="single" w:sz="4" w:space="0" w:color="auto"/>
              <w:right w:val="single" w:sz="4" w:space="0" w:color="auto"/>
            </w:tcBorders>
            <w:hideMark/>
          </w:tcPr>
          <w:p w14:paraId="7B7FF8A8" w14:textId="77777777" w:rsidR="006072DB" w:rsidRDefault="006072DB" w:rsidP="00252EA7">
            <w:pPr>
              <w:pStyle w:val="TAL"/>
              <w:rPr>
                <w:rFonts w:cs="Arial"/>
                <w:lang w:eastAsia="ja-JP"/>
              </w:rPr>
            </w:pPr>
            <w:r>
              <w:rPr>
                <w:szCs w:val="22"/>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77734A40" w14:textId="77777777" w:rsidR="006072DB" w:rsidRDefault="006072DB" w:rsidP="00252EA7">
            <w:pPr>
              <w:pStyle w:val="TAL"/>
              <w:rPr>
                <w:rFonts w:cs="Arial"/>
                <w:lang w:eastAsia="ja-JP"/>
              </w:rPr>
            </w:pPr>
            <w:r>
              <w:rPr>
                <w:szCs w:val="22"/>
              </w:rPr>
              <w:t>M</w:t>
            </w:r>
          </w:p>
        </w:tc>
        <w:tc>
          <w:tcPr>
            <w:tcW w:w="1440" w:type="dxa"/>
            <w:tcBorders>
              <w:top w:val="single" w:sz="4" w:space="0" w:color="auto"/>
              <w:left w:val="single" w:sz="4" w:space="0" w:color="auto"/>
              <w:bottom w:val="single" w:sz="4" w:space="0" w:color="auto"/>
              <w:right w:val="single" w:sz="4" w:space="0" w:color="auto"/>
            </w:tcBorders>
          </w:tcPr>
          <w:p w14:paraId="1CF477F5" w14:textId="77777777" w:rsidR="006072DB" w:rsidRDefault="006072DB" w:rsidP="00252EA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9AAAB79" w14:textId="77777777" w:rsidR="006072DB" w:rsidRDefault="006072DB" w:rsidP="00252EA7">
            <w:pPr>
              <w:pStyle w:val="TAL"/>
              <w:rPr>
                <w:rFonts w:cs="Arial"/>
                <w:lang w:eastAsia="ja-JP"/>
              </w:rPr>
            </w:pPr>
            <w:r>
              <w:rPr>
                <w:szCs w:val="22"/>
              </w:rPr>
              <w:t>INTEGER (0..1023, …)</w:t>
            </w:r>
          </w:p>
        </w:tc>
        <w:tc>
          <w:tcPr>
            <w:tcW w:w="2880" w:type="dxa"/>
            <w:tcBorders>
              <w:top w:val="single" w:sz="4" w:space="0" w:color="auto"/>
              <w:left w:val="single" w:sz="4" w:space="0" w:color="auto"/>
              <w:bottom w:val="single" w:sz="4" w:space="0" w:color="auto"/>
              <w:right w:val="single" w:sz="4" w:space="0" w:color="auto"/>
            </w:tcBorders>
            <w:hideMark/>
          </w:tcPr>
          <w:p w14:paraId="53812702" w14:textId="77777777" w:rsidR="006072DB" w:rsidRDefault="006072DB" w:rsidP="00252EA7">
            <w:pPr>
              <w:pStyle w:val="TAL"/>
              <w:rPr>
                <w:lang w:eastAsia="ja-JP"/>
              </w:rPr>
            </w:pPr>
            <w:r>
              <w:rPr>
                <w:szCs w:val="22"/>
              </w:rPr>
              <w:t>Upper bound value for the delay that a packet may experience expressed in unit of 0.5ms.</w:t>
            </w:r>
          </w:p>
        </w:tc>
      </w:tr>
      <w:tr w:rsidR="006072DB" w14:paraId="67C76E9B" w14:textId="77777777" w:rsidTr="00252EA7">
        <w:tc>
          <w:tcPr>
            <w:tcW w:w="2448" w:type="dxa"/>
            <w:tcBorders>
              <w:top w:val="single" w:sz="4" w:space="0" w:color="auto"/>
              <w:left w:val="single" w:sz="4" w:space="0" w:color="auto"/>
              <w:bottom w:val="single" w:sz="4" w:space="0" w:color="auto"/>
              <w:right w:val="single" w:sz="4" w:space="0" w:color="auto"/>
            </w:tcBorders>
            <w:hideMark/>
          </w:tcPr>
          <w:p w14:paraId="68049F39" w14:textId="77777777" w:rsidR="006072DB" w:rsidRPr="004373DB" w:rsidRDefault="006072DB" w:rsidP="00252EA7">
            <w:pPr>
              <w:pStyle w:val="TAL"/>
              <w:rPr>
                <w:szCs w:val="22"/>
              </w:rPr>
            </w:pPr>
            <w:r w:rsidRPr="004373DB">
              <w:rPr>
                <w:szCs w:val="22"/>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145D32A3" w14:textId="77777777" w:rsidR="006072DB" w:rsidRPr="004373DB" w:rsidRDefault="006072DB" w:rsidP="00252EA7">
            <w:pPr>
              <w:pStyle w:val="TAL"/>
              <w:rPr>
                <w:szCs w:val="22"/>
              </w:rPr>
            </w:pPr>
            <w:r>
              <w:rPr>
                <w:szCs w:val="22"/>
              </w:rPr>
              <w:t>M</w:t>
            </w:r>
          </w:p>
        </w:tc>
        <w:tc>
          <w:tcPr>
            <w:tcW w:w="1440" w:type="dxa"/>
            <w:tcBorders>
              <w:top w:val="single" w:sz="4" w:space="0" w:color="auto"/>
              <w:left w:val="single" w:sz="4" w:space="0" w:color="auto"/>
              <w:bottom w:val="single" w:sz="4" w:space="0" w:color="auto"/>
              <w:right w:val="single" w:sz="4" w:space="0" w:color="auto"/>
            </w:tcBorders>
          </w:tcPr>
          <w:p w14:paraId="566C6464" w14:textId="77777777" w:rsidR="006072DB" w:rsidRDefault="006072DB" w:rsidP="00252EA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542D9E" w14:textId="77777777" w:rsidR="006072DB" w:rsidRPr="004373DB" w:rsidRDefault="006072DB" w:rsidP="00252EA7">
            <w:pPr>
              <w:pStyle w:val="TAL"/>
              <w:rPr>
                <w:szCs w:val="22"/>
              </w:rPr>
            </w:pPr>
            <w:r>
              <w:rPr>
                <w:szCs w:val="22"/>
              </w:rPr>
              <w:t>INTEGER (0..4095, …)</w:t>
            </w:r>
          </w:p>
        </w:tc>
        <w:tc>
          <w:tcPr>
            <w:tcW w:w="2880" w:type="dxa"/>
            <w:tcBorders>
              <w:top w:val="single" w:sz="4" w:space="0" w:color="auto"/>
              <w:left w:val="single" w:sz="4" w:space="0" w:color="auto"/>
              <w:bottom w:val="single" w:sz="4" w:space="0" w:color="auto"/>
              <w:right w:val="single" w:sz="4" w:space="0" w:color="auto"/>
            </w:tcBorders>
            <w:hideMark/>
          </w:tcPr>
          <w:p w14:paraId="1366BF59" w14:textId="77777777" w:rsidR="006072DB" w:rsidRPr="004373DB" w:rsidRDefault="006072DB" w:rsidP="00252EA7">
            <w:pPr>
              <w:pStyle w:val="TAL"/>
              <w:rPr>
                <w:szCs w:val="22"/>
              </w:rPr>
            </w:pPr>
            <w:r>
              <w:rPr>
                <w:szCs w:val="22"/>
              </w:rPr>
              <w:t>Unit: byte.</w:t>
            </w:r>
          </w:p>
        </w:tc>
      </w:tr>
    </w:tbl>
    <w:p w14:paraId="68EB0FC4" w14:textId="77777777" w:rsidR="006072DB" w:rsidRDefault="006072DB" w:rsidP="006072DB">
      <w:pPr>
        <w:rPr>
          <w:rFonts w:ascii="Arial" w:hAnsi="Arial" w:cs="Arial"/>
          <w:lang w:val="en-US"/>
        </w:rPr>
      </w:pPr>
    </w:p>
    <w:p w14:paraId="1CC8BBC8" w14:textId="475DDED2" w:rsidR="006072DB" w:rsidRDefault="006072DB" w:rsidP="006072DB">
      <w:pPr>
        <w:rPr>
          <w:rFonts w:ascii="Arial" w:hAnsi="Arial" w:cs="Arial"/>
          <w:lang w:val="en-US"/>
        </w:rPr>
      </w:pPr>
      <w:r>
        <w:rPr>
          <w:rFonts w:ascii="Arial" w:hAnsi="Arial" w:cs="Arial"/>
          <w:lang w:val="en-US"/>
        </w:rPr>
        <w:t xml:space="preserve">It can be observed that by decreasing PDB the guarantied bitrate in RAN is increasing, thus, the most extreme configuration (0.5ms PDB and 4095B MDBV) gives the maximum bitrate of 65.5Mbps. Considering a capability of NR achieving very high bitrates i.e. more than 1 Gbps, we think that encoding of maximum possible MDBV value in the NGAP </w:t>
      </w:r>
      <w:r w:rsidR="00194DDB">
        <w:rPr>
          <w:rFonts w:ascii="Arial" w:hAnsi="Arial" w:cs="Arial"/>
          <w:lang w:val="en-US"/>
        </w:rPr>
        <w:t xml:space="preserve">can be extended. </w:t>
      </w:r>
      <w:r w:rsidR="00CB1651">
        <w:rPr>
          <w:rFonts w:ascii="Arial" w:hAnsi="Arial" w:cs="Arial"/>
          <w:lang w:val="en-US"/>
        </w:rPr>
        <w:t xml:space="preserve">One reason </w:t>
      </w:r>
      <w:r w:rsidR="0049023D">
        <w:rPr>
          <w:rFonts w:ascii="Arial" w:hAnsi="Arial" w:cs="Arial"/>
          <w:lang w:val="en-US"/>
        </w:rPr>
        <w:t xml:space="preserve">for extension </w:t>
      </w:r>
      <w:r w:rsidR="00CB1651">
        <w:rPr>
          <w:rFonts w:ascii="Arial" w:hAnsi="Arial" w:cs="Arial"/>
          <w:lang w:val="en-US"/>
        </w:rPr>
        <w:t xml:space="preserve">is </w:t>
      </w:r>
      <w:r>
        <w:rPr>
          <w:rFonts w:ascii="Arial" w:hAnsi="Arial" w:cs="Arial"/>
          <w:lang w:val="en-US"/>
        </w:rPr>
        <w:t xml:space="preserve">to address operator dedicated deployments </w:t>
      </w:r>
      <w:r w:rsidR="00234155">
        <w:rPr>
          <w:rFonts w:ascii="Arial" w:hAnsi="Arial" w:cs="Arial"/>
          <w:lang w:val="en-US"/>
        </w:rPr>
        <w:t xml:space="preserve">where </w:t>
      </w:r>
      <w:r>
        <w:rPr>
          <w:rFonts w:ascii="Arial" w:hAnsi="Arial" w:cs="Arial"/>
          <w:lang w:val="en-US"/>
        </w:rPr>
        <w:t xml:space="preserve">non-standardized 5QI characteristics </w:t>
      </w:r>
      <w:r w:rsidR="00163677">
        <w:rPr>
          <w:rFonts w:ascii="Arial" w:hAnsi="Arial" w:cs="Arial"/>
          <w:lang w:val="en-US"/>
        </w:rPr>
        <w:t xml:space="preserve">are applied, and </w:t>
      </w:r>
      <w:r w:rsidR="00553E40">
        <w:rPr>
          <w:rFonts w:ascii="Arial" w:hAnsi="Arial" w:cs="Arial"/>
          <w:lang w:val="en-US"/>
        </w:rPr>
        <w:t xml:space="preserve">the extreme known use case may be supported. </w:t>
      </w:r>
      <w:r w:rsidR="008269CB">
        <w:rPr>
          <w:rFonts w:ascii="Arial" w:hAnsi="Arial" w:cs="Arial"/>
          <w:lang w:val="en-US"/>
        </w:rPr>
        <w:t xml:space="preserve">In our view, if and how to handle </w:t>
      </w:r>
      <w:r w:rsidR="006E210C">
        <w:rPr>
          <w:rFonts w:ascii="Arial" w:hAnsi="Arial" w:cs="Arial"/>
          <w:lang w:val="en-US"/>
        </w:rPr>
        <w:t xml:space="preserve">such cases is </w:t>
      </w:r>
      <w:r>
        <w:rPr>
          <w:rFonts w:ascii="Arial" w:hAnsi="Arial" w:cs="Arial"/>
          <w:lang w:val="en-US"/>
        </w:rPr>
        <w:t>up to SA2 to decide.</w:t>
      </w:r>
    </w:p>
    <w:p w14:paraId="5BD89882" w14:textId="77777777" w:rsidR="006072DB" w:rsidRPr="006E210C" w:rsidRDefault="006072DB" w:rsidP="006072DB">
      <w:pPr>
        <w:pStyle w:val="Proposal"/>
        <w:tabs>
          <w:tab w:val="clear" w:pos="1304"/>
        </w:tabs>
        <w:ind w:left="1701" w:hanging="1701"/>
      </w:pPr>
      <w:bookmarkStart w:id="19" w:name="_Toc16888257"/>
      <w:r w:rsidRPr="006E210C">
        <w:t>The maximum signalled MDBV can extended by most extreme known use case and SA2 can take a decision.</w:t>
      </w:r>
      <w:bookmarkEnd w:id="19"/>
    </w:p>
    <w:p w14:paraId="1F5F9D8D" w14:textId="77777777" w:rsidR="006072DB" w:rsidRPr="00BC52E7" w:rsidRDefault="006072DB" w:rsidP="006072DB">
      <w:pPr>
        <w:rPr>
          <w:rFonts w:ascii="Arial" w:hAnsi="Arial" w:cs="Arial"/>
        </w:rPr>
      </w:pPr>
    </w:p>
    <w:p w14:paraId="51FF8CC7" w14:textId="77777777" w:rsidR="00686E22" w:rsidRPr="00A04F49" w:rsidRDefault="00686E22" w:rsidP="00264FB7">
      <w:pPr>
        <w:pStyle w:val="Proposal"/>
        <w:numPr>
          <w:ilvl w:val="0"/>
          <w:numId w:val="0"/>
        </w:numPr>
        <w:ind w:left="1701" w:hanging="1701"/>
      </w:pP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1B4A8C" w14:textId="77777777" w:rsidR="00DA0F9D" w:rsidRDefault="006F6582">
      <w:pPr>
        <w:pStyle w:val="TableofFigures"/>
        <w:tabs>
          <w:tab w:val="right" w:leader="dot" w:pos="9962"/>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16888258" w:history="1">
        <w:r w:rsidR="00DA0F9D" w:rsidRPr="00A55911">
          <w:rPr>
            <w:rStyle w:val="Hyperlink"/>
            <w:noProof/>
          </w:rPr>
          <w:t>Observation 1</w:t>
        </w:r>
        <w:r w:rsidR="00DA0F9D">
          <w:rPr>
            <w:rFonts w:asciiTheme="minorHAnsi" w:eastAsiaTheme="minorEastAsia" w:hAnsiTheme="minorHAnsi" w:cstheme="minorBidi"/>
            <w:b w:val="0"/>
            <w:noProof/>
            <w:sz w:val="22"/>
            <w:szCs w:val="22"/>
            <w:lang w:val="en-US"/>
          </w:rPr>
          <w:tab/>
        </w:r>
        <w:r w:rsidR="00DA0F9D" w:rsidRPr="00A55911">
          <w:rPr>
            <w:rStyle w:val="Hyperlink"/>
            <w:noProof/>
          </w:rPr>
          <w:t>Existing MDBV values in Table 5.7.4-1 of TS 23.501 cannot be replaced due to the fact that the specification is frozen. If any new MDBV values are desired, then new 5QI entries need to be added.</w:t>
        </w:r>
      </w:hyperlink>
    </w:p>
    <w:p w14:paraId="1216045E" w14:textId="2B2B95B7"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18E982" w14:textId="77777777" w:rsidR="00DA0F9D" w:rsidRDefault="006E1C82">
      <w:pPr>
        <w:pStyle w:val="TableofFigures"/>
        <w:tabs>
          <w:tab w:val="right" w:leader="dot" w:pos="9962"/>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88252" w:history="1">
        <w:r w:rsidR="00DA0F9D" w:rsidRPr="00DF0ED0">
          <w:rPr>
            <w:rStyle w:val="Hyperlink"/>
            <w:noProof/>
          </w:rPr>
          <w:t>Proposal 1</w:t>
        </w:r>
        <w:r w:rsidR="00DA0F9D">
          <w:rPr>
            <w:rFonts w:asciiTheme="minorHAnsi" w:eastAsiaTheme="minorEastAsia" w:hAnsiTheme="minorHAnsi" w:cstheme="minorBidi"/>
            <w:b w:val="0"/>
            <w:noProof/>
            <w:sz w:val="22"/>
            <w:szCs w:val="22"/>
            <w:lang w:val="en-US"/>
          </w:rPr>
          <w:tab/>
        </w:r>
        <w:r w:rsidR="00DA0F9D" w:rsidRPr="00DF0ED0">
          <w:rPr>
            <w:rStyle w:val="Hyperlink"/>
            <w:noProof/>
          </w:rPr>
          <w:t>RAN1 see the need for specifying propagation delay compensation requirements and enhancements in order to meet the synchronization requirements as studied in NR Industrial IoT SI.</w:t>
        </w:r>
      </w:hyperlink>
    </w:p>
    <w:p w14:paraId="77C2D007" w14:textId="77777777" w:rsidR="00DA0F9D" w:rsidRDefault="00950F55">
      <w:pPr>
        <w:pStyle w:val="TableofFigures"/>
        <w:tabs>
          <w:tab w:val="right" w:leader="dot" w:pos="9962"/>
        </w:tabs>
        <w:rPr>
          <w:rFonts w:asciiTheme="minorHAnsi" w:eastAsiaTheme="minorEastAsia" w:hAnsiTheme="minorHAnsi" w:cstheme="minorBidi"/>
          <w:b w:val="0"/>
          <w:noProof/>
          <w:sz w:val="22"/>
          <w:szCs w:val="22"/>
          <w:lang w:val="en-US"/>
        </w:rPr>
      </w:pPr>
      <w:hyperlink w:anchor="_Toc16888253" w:history="1">
        <w:r w:rsidR="00DA0F9D" w:rsidRPr="00DF0ED0">
          <w:rPr>
            <w:rStyle w:val="Hyperlink"/>
            <w:noProof/>
          </w:rPr>
          <w:t>Proposal 2</w:t>
        </w:r>
        <w:r w:rsidR="00DA0F9D">
          <w:rPr>
            <w:rFonts w:asciiTheme="minorHAnsi" w:eastAsiaTheme="minorEastAsia" w:hAnsiTheme="minorHAnsi" w:cstheme="minorBidi"/>
            <w:b w:val="0"/>
            <w:noProof/>
            <w:sz w:val="22"/>
            <w:szCs w:val="22"/>
            <w:lang w:val="en-US"/>
          </w:rPr>
          <w:tab/>
        </w:r>
        <w:r w:rsidR="00DA0F9D" w:rsidRPr="00DF0ED0">
          <w:rPr>
            <w:rStyle w:val="Hyperlink"/>
            <w:noProof/>
          </w:rPr>
          <w:t>RAN1 sends an LS to SA1 (</w:t>
        </w:r>
        <w:r w:rsidR="00DA0F9D" w:rsidRPr="00DF0ED0">
          <w:rPr>
            <w:rStyle w:val="Hyperlink"/>
            <w:noProof/>
            <w:lang w:val="en-US" w:eastAsia="ja-JP"/>
          </w:rPr>
          <w:t>copy RAN2 and RAN3) to obtain information about other error components in clock synchronization, so that RAN1 can set the design target for Uu synchronization accuracy.</w:t>
        </w:r>
      </w:hyperlink>
    </w:p>
    <w:p w14:paraId="07B39867" w14:textId="77777777" w:rsidR="00DA0F9D" w:rsidRDefault="00950F55">
      <w:pPr>
        <w:pStyle w:val="TableofFigures"/>
        <w:tabs>
          <w:tab w:val="right" w:leader="dot" w:pos="9962"/>
        </w:tabs>
        <w:rPr>
          <w:rFonts w:asciiTheme="minorHAnsi" w:eastAsiaTheme="minorEastAsia" w:hAnsiTheme="minorHAnsi" w:cstheme="minorBidi"/>
          <w:b w:val="0"/>
          <w:noProof/>
          <w:sz w:val="22"/>
          <w:szCs w:val="22"/>
          <w:lang w:val="en-US"/>
        </w:rPr>
      </w:pPr>
      <w:hyperlink w:anchor="_Toc16888254" w:history="1">
        <w:r w:rsidR="00DA0F9D" w:rsidRPr="00DF0ED0">
          <w:rPr>
            <w:rStyle w:val="Hyperlink"/>
            <w:noProof/>
          </w:rPr>
          <w:t>Proposal 3</w:t>
        </w:r>
        <w:r w:rsidR="00DA0F9D">
          <w:rPr>
            <w:rFonts w:asciiTheme="minorHAnsi" w:eastAsiaTheme="minorEastAsia" w:hAnsiTheme="minorHAnsi" w:cstheme="minorBidi"/>
            <w:b w:val="0"/>
            <w:noProof/>
            <w:sz w:val="22"/>
            <w:szCs w:val="22"/>
            <w:lang w:val="en-US"/>
          </w:rPr>
          <w:tab/>
        </w:r>
        <w:r w:rsidR="00DA0F9D" w:rsidRPr="00DF0ED0">
          <w:rPr>
            <w:rStyle w:val="Hyperlink"/>
            <w:noProof/>
          </w:rPr>
          <w:t>Propagation delay compensation requirements and other enhancements should be included as part of Rel-17 eURLLC/IIoT work.</w:t>
        </w:r>
      </w:hyperlink>
    </w:p>
    <w:p w14:paraId="0FEA64A3" w14:textId="77777777" w:rsidR="00DA0F9D" w:rsidRDefault="00950F55">
      <w:pPr>
        <w:pStyle w:val="TableofFigures"/>
        <w:tabs>
          <w:tab w:val="right" w:leader="dot" w:pos="9962"/>
        </w:tabs>
        <w:rPr>
          <w:rFonts w:asciiTheme="minorHAnsi" w:eastAsiaTheme="minorEastAsia" w:hAnsiTheme="minorHAnsi" w:cstheme="minorBidi"/>
          <w:b w:val="0"/>
          <w:noProof/>
          <w:sz w:val="22"/>
          <w:szCs w:val="22"/>
          <w:lang w:val="en-US"/>
        </w:rPr>
      </w:pPr>
      <w:hyperlink w:anchor="_Toc16888255" w:history="1">
        <w:r w:rsidR="00DA0F9D" w:rsidRPr="00DF0ED0">
          <w:rPr>
            <w:rStyle w:val="Hyperlink"/>
            <w:noProof/>
          </w:rPr>
          <w:t>Proposal 4</w:t>
        </w:r>
        <w:r w:rsidR="00DA0F9D">
          <w:rPr>
            <w:rFonts w:asciiTheme="minorHAnsi" w:eastAsiaTheme="minorEastAsia" w:hAnsiTheme="minorHAnsi" w:cstheme="minorBidi"/>
            <w:b w:val="0"/>
            <w:noProof/>
            <w:sz w:val="22"/>
            <w:szCs w:val="22"/>
            <w:lang w:val="en-US"/>
          </w:rPr>
          <w:tab/>
        </w:r>
        <w:r w:rsidR="00DA0F9D" w:rsidRPr="00DF0ED0">
          <w:rPr>
            <w:rStyle w:val="Hyperlink"/>
            <w:noProof/>
          </w:rPr>
          <w:t>Combination (2) of Uu QoS characteristics values is not feasible for V2X services.</w:t>
        </w:r>
      </w:hyperlink>
    </w:p>
    <w:p w14:paraId="2E23840D" w14:textId="77777777" w:rsidR="00DA0F9D" w:rsidRDefault="00950F55">
      <w:pPr>
        <w:pStyle w:val="TableofFigures"/>
        <w:tabs>
          <w:tab w:val="right" w:leader="dot" w:pos="9962"/>
        </w:tabs>
        <w:rPr>
          <w:rFonts w:asciiTheme="minorHAnsi" w:eastAsiaTheme="minorEastAsia" w:hAnsiTheme="minorHAnsi" w:cstheme="minorBidi"/>
          <w:b w:val="0"/>
          <w:noProof/>
          <w:sz w:val="22"/>
          <w:szCs w:val="22"/>
          <w:lang w:val="en-US"/>
        </w:rPr>
      </w:pPr>
      <w:hyperlink w:anchor="_Toc16888256" w:history="1">
        <w:r w:rsidR="00DA0F9D" w:rsidRPr="00DF0ED0">
          <w:rPr>
            <w:rStyle w:val="Hyperlink"/>
            <w:noProof/>
          </w:rPr>
          <w:t>Proposal 5</w:t>
        </w:r>
        <w:r w:rsidR="00DA0F9D">
          <w:rPr>
            <w:rFonts w:asciiTheme="minorHAnsi" w:eastAsiaTheme="minorEastAsia" w:hAnsiTheme="minorHAnsi" w:cstheme="minorBidi"/>
            <w:b w:val="0"/>
            <w:noProof/>
            <w:sz w:val="22"/>
            <w:szCs w:val="22"/>
            <w:lang w:val="en-US"/>
          </w:rPr>
          <w:tab/>
        </w:r>
        <w:r w:rsidR="00DA0F9D" w:rsidRPr="00DF0ED0">
          <w:rPr>
            <w:rStyle w:val="Hyperlink"/>
            <w:noProof/>
          </w:rPr>
          <w:t>No new MDBV values are introduced for delay critical GBR 5QIs in Table 5.7.4-1 of TS 23.501.</w:t>
        </w:r>
      </w:hyperlink>
    </w:p>
    <w:p w14:paraId="238DC176" w14:textId="77777777" w:rsidR="00DA0F9D" w:rsidRDefault="00950F55">
      <w:pPr>
        <w:pStyle w:val="TableofFigures"/>
        <w:tabs>
          <w:tab w:val="right" w:leader="dot" w:pos="9962"/>
        </w:tabs>
        <w:rPr>
          <w:rFonts w:asciiTheme="minorHAnsi" w:eastAsiaTheme="minorEastAsia" w:hAnsiTheme="minorHAnsi" w:cstheme="minorBidi"/>
          <w:b w:val="0"/>
          <w:noProof/>
          <w:sz w:val="22"/>
          <w:szCs w:val="22"/>
          <w:lang w:val="en-US"/>
        </w:rPr>
      </w:pPr>
      <w:hyperlink w:anchor="_Toc16888257" w:history="1">
        <w:r w:rsidR="00DA0F9D" w:rsidRPr="00DF0ED0">
          <w:rPr>
            <w:rStyle w:val="Hyperlink"/>
            <w:noProof/>
          </w:rPr>
          <w:t>Proposal 6</w:t>
        </w:r>
        <w:r w:rsidR="00DA0F9D">
          <w:rPr>
            <w:rFonts w:asciiTheme="minorHAnsi" w:eastAsiaTheme="minorEastAsia" w:hAnsiTheme="minorHAnsi" w:cstheme="minorBidi"/>
            <w:b w:val="0"/>
            <w:noProof/>
            <w:sz w:val="22"/>
            <w:szCs w:val="22"/>
            <w:lang w:val="en-US"/>
          </w:rPr>
          <w:tab/>
        </w:r>
        <w:r w:rsidR="00DA0F9D" w:rsidRPr="00DF0ED0">
          <w:rPr>
            <w:rStyle w:val="Hyperlink"/>
            <w:noProof/>
          </w:rPr>
          <w:t>The maximum signalled MDBV can extended by most extreme known use case and SA2 can take a decision.</w:t>
        </w:r>
      </w:hyperlink>
    </w:p>
    <w:p w14:paraId="20461022" w14:textId="45BA3F3D"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20" w:name="_In-sequence_SDU_delivery"/>
      <w:bookmarkEnd w:id="20"/>
      <w:r w:rsidRPr="00CE0424">
        <w:t>References</w:t>
      </w:r>
    </w:p>
    <w:p w14:paraId="00271323" w14:textId="52B1A459" w:rsidR="005F6BB1" w:rsidRDefault="005F6BB1" w:rsidP="00311702">
      <w:pPr>
        <w:pStyle w:val="Reference"/>
      </w:pPr>
      <w:bookmarkStart w:id="21" w:name="_Ref174151459"/>
      <w:bookmarkStart w:id="22" w:name="_Ref189809556"/>
      <w:r w:rsidRPr="005F6BB1">
        <w:t>R1-1907993</w:t>
      </w:r>
      <w:r>
        <w:t xml:space="preserve"> (</w:t>
      </w:r>
      <w:r w:rsidRPr="005F6BB1">
        <w:t>R2-1908160</w:t>
      </w:r>
      <w:r>
        <w:t xml:space="preserve">), </w:t>
      </w:r>
      <w:r w:rsidR="007E0BCD">
        <w:t xml:space="preserve">RAN2, </w:t>
      </w:r>
      <w:r w:rsidRPr="005F6BB1">
        <w:t>Nokia</w:t>
      </w:r>
      <w:r>
        <w:t>, “</w:t>
      </w:r>
      <w:r w:rsidRPr="005F6BB1">
        <w:t>LS to RAN1 on propagation delay compensation for reference time information delivery</w:t>
      </w:r>
      <w:r>
        <w:t>.”</w:t>
      </w:r>
    </w:p>
    <w:p w14:paraId="35305537" w14:textId="33F3AB18" w:rsidR="00231924" w:rsidRDefault="00907639" w:rsidP="00311702">
      <w:pPr>
        <w:pStyle w:val="Reference"/>
      </w:pPr>
      <w:r w:rsidRPr="00907639">
        <w:t>R1-1907974</w:t>
      </w:r>
      <w:r>
        <w:t xml:space="preserve"> (</w:t>
      </w:r>
      <w:r w:rsidRPr="00907639">
        <w:t>S2-1906340</w:t>
      </w:r>
      <w:r>
        <w:t>)</w:t>
      </w:r>
      <w:r w:rsidR="00ED4407">
        <w:t>,</w:t>
      </w:r>
      <w:r>
        <w:t xml:space="preserve"> </w:t>
      </w:r>
      <w:r w:rsidR="007E0BCD">
        <w:t xml:space="preserve">SA2, </w:t>
      </w:r>
      <w:r w:rsidRPr="00907639">
        <w:t>Huawei</w:t>
      </w:r>
      <w:r w:rsidR="00ED4407">
        <w:t>, “</w:t>
      </w:r>
      <w:r w:rsidRPr="00907639">
        <w:t xml:space="preserve">Reply on Combinations of </w:t>
      </w:r>
      <w:proofErr w:type="spellStart"/>
      <w:r w:rsidRPr="00907639">
        <w:t>Uu</w:t>
      </w:r>
      <w:proofErr w:type="spellEnd"/>
      <w:r w:rsidRPr="00907639">
        <w:t xml:space="preserve"> QoS characteristics values for V2X services</w:t>
      </w:r>
      <w:r w:rsidR="00ED4407">
        <w:t>.”</w:t>
      </w:r>
    </w:p>
    <w:p w14:paraId="41709F00" w14:textId="77777777" w:rsidR="000F2BD6" w:rsidRDefault="000F2BD6" w:rsidP="000F2BD6">
      <w:pPr>
        <w:pStyle w:val="Reference"/>
      </w:pPr>
      <w:r w:rsidRPr="00E9091F">
        <w:t>R1-1907990</w:t>
      </w:r>
      <w:r>
        <w:t xml:space="preserve"> (</w:t>
      </w:r>
      <w:r w:rsidRPr="00E9091F">
        <w:t>R3-193258</w:t>
      </w:r>
      <w:r>
        <w:t xml:space="preserve">), RAN3, </w:t>
      </w:r>
      <w:r w:rsidRPr="00E9091F">
        <w:t>Huawei</w:t>
      </w:r>
      <w:r>
        <w:t>, “</w:t>
      </w:r>
      <w:r w:rsidRPr="00E9091F">
        <w:t xml:space="preserve">Reply LS on Combinations of </w:t>
      </w:r>
      <w:proofErr w:type="spellStart"/>
      <w:r w:rsidRPr="00E9091F">
        <w:t>Uu</w:t>
      </w:r>
      <w:proofErr w:type="spellEnd"/>
      <w:r w:rsidRPr="00E9091F">
        <w:t xml:space="preserve"> QoS characteristics values for V2X services</w:t>
      </w:r>
      <w:r>
        <w:t>.”</w:t>
      </w:r>
    </w:p>
    <w:p w14:paraId="347435C3" w14:textId="572EA918" w:rsidR="00ED4407" w:rsidRDefault="00ED4407" w:rsidP="00311702">
      <w:pPr>
        <w:pStyle w:val="Reference"/>
      </w:pPr>
      <w:r w:rsidRPr="00ED4407">
        <w:t>R1-1908011(S2-1907955)</w:t>
      </w:r>
      <w:r w:rsidR="002A3DBE">
        <w:t>, SA2,</w:t>
      </w:r>
      <w:r w:rsidR="007E0BCD">
        <w:t xml:space="preserve"> Qualcomm,</w:t>
      </w:r>
      <w:r w:rsidRPr="00ED4407">
        <w:t xml:space="preserve"> </w:t>
      </w:r>
      <w:r w:rsidR="002A3DBE">
        <w:t>“</w:t>
      </w:r>
      <w:r w:rsidRPr="00ED4407">
        <w:t>LS on maximum value of MDBV</w:t>
      </w:r>
      <w:r w:rsidR="002A3DBE">
        <w:t>.”</w:t>
      </w:r>
    </w:p>
    <w:p w14:paraId="45E86621" w14:textId="77777777" w:rsidR="00321B29" w:rsidRPr="00334A2A" w:rsidRDefault="00321B29" w:rsidP="00321B29">
      <w:pPr>
        <w:pStyle w:val="Reference"/>
      </w:pPr>
      <w:r w:rsidRPr="00334A2A">
        <w:t xml:space="preserve">R1-1901252, Huawei. “UE decides the downlink propagation delay according to the TA value obtained from TA command sent by </w:t>
      </w:r>
      <w:proofErr w:type="spellStart"/>
      <w:r w:rsidRPr="00334A2A">
        <w:t>gNB</w:t>
      </w:r>
      <w:proofErr w:type="spellEnd"/>
      <w:r w:rsidRPr="00334A2A">
        <w:t>.”</w:t>
      </w:r>
    </w:p>
    <w:p w14:paraId="7FA2D7F3" w14:textId="77777777" w:rsidR="00321B29" w:rsidRPr="00334A2A" w:rsidRDefault="00321B29" w:rsidP="00321B29">
      <w:pPr>
        <w:pStyle w:val="Reference"/>
      </w:pPr>
      <w:r w:rsidRPr="00334A2A">
        <w:t>R1-1900935, Nokia. “for larger cell sizes and more independently of the deployment scenario the timing advance compensation at the UE could be applied to take the (varying) propagation delay into account.”</w:t>
      </w:r>
    </w:p>
    <w:p w14:paraId="25438EEC" w14:textId="77777777" w:rsidR="00321B29" w:rsidRPr="00334A2A" w:rsidRDefault="00321B29" w:rsidP="00321B29">
      <w:pPr>
        <w:pStyle w:val="Reference"/>
      </w:pPr>
      <w:r w:rsidRPr="00334A2A">
        <w:t>R1-1901334, Intel. “Since the error in TA estimation is composed of BS detecting error, TA indicating error, and DL frame timing error, it can be shown that the error in DL propagation delay estimation can be computed as half of the addition of DL/UL asymmetry error and the error in TA estimation.”</w:t>
      </w:r>
    </w:p>
    <w:p w14:paraId="2BCEC123" w14:textId="77777777" w:rsidR="00321B29" w:rsidRPr="00334A2A" w:rsidRDefault="00321B29" w:rsidP="00321B29">
      <w:pPr>
        <w:pStyle w:val="Reference"/>
      </w:pPr>
      <w:r w:rsidRPr="00334A2A">
        <w:t xml:space="preserve">R1-1900156, ZTE. “As these timing error components are all merged into the procedure of Timing Adjustment which defined in 38.213[9], only half of these timing errors will be aggregated into the </w:t>
      </w:r>
      <w:proofErr w:type="spellStart"/>
      <w:r w:rsidRPr="00334A2A">
        <w:t>Uu</w:t>
      </w:r>
      <w:proofErr w:type="spellEnd"/>
      <w:r w:rsidRPr="00334A2A">
        <w:t xml:space="preserve"> interface timing accuracy.”</w:t>
      </w:r>
    </w:p>
    <w:p w14:paraId="3419E4F9" w14:textId="797D8FE5" w:rsidR="002C0696" w:rsidRDefault="002C0696" w:rsidP="00311702">
      <w:pPr>
        <w:pStyle w:val="Reference"/>
      </w:pPr>
      <w:r>
        <w:t>TR 38.825</w:t>
      </w:r>
    </w:p>
    <w:p w14:paraId="297C4CBD" w14:textId="2C6E9547" w:rsidR="00FF2679" w:rsidRDefault="00FF2679" w:rsidP="00311702">
      <w:pPr>
        <w:pStyle w:val="Reference"/>
      </w:pPr>
      <w:r>
        <w:t>TS 23.501 V16.1.0</w:t>
      </w:r>
    </w:p>
    <w:bookmarkEnd w:id="21"/>
    <w:bookmarkEnd w:id="22"/>
    <w:p w14:paraId="70171A66" w14:textId="4682D325" w:rsidR="003A7EF3" w:rsidRDefault="003A7EF3" w:rsidP="00CE0424">
      <w:pPr>
        <w:pStyle w:val="BodyText"/>
      </w:pPr>
    </w:p>
    <w:p w14:paraId="23EB1127" w14:textId="0BFDCF6D" w:rsidR="00B63E2F" w:rsidRDefault="00B63E2F" w:rsidP="00CE0424">
      <w:pPr>
        <w:pStyle w:val="BodyText"/>
      </w:pPr>
    </w:p>
    <w:p w14:paraId="0B21C74B" w14:textId="77777777" w:rsidR="00030105" w:rsidRDefault="00B63E2F" w:rsidP="00B63E2F">
      <w:pPr>
        <w:pStyle w:val="Heading1"/>
      </w:pPr>
      <w:r>
        <w:t>Appendix</w:t>
      </w:r>
      <w:r w:rsidR="00030105">
        <w:t xml:space="preserve"> </w:t>
      </w:r>
    </w:p>
    <w:p w14:paraId="230B3C4D" w14:textId="5EAFA76E" w:rsidR="00B63E2F" w:rsidRDefault="00030105" w:rsidP="0045645E">
      <w:pPr>
        <w:pStyle w:val="Heading2"/>
      </w:pPr>
      <w:r>
        <w:t>Ap</w:t>
      </w:r>
      <w:r w:rsidR="00F535C4">
        <w:t>p</w:t>
      </w:r>
      <w:r>
        <w:t>endix A</w:t>
      </w:r>
      <w:r w:rsidR="000C76D0">
        <w:t xml:space="preserve">. </w:t>
      </w:r>
      <w:r w:rsidR="00422362" w:rsidRPr="00422362">
        <w:t xml:space="preserve">Synchronization </w:t>
      </w:r>
      <w:r w:rsidR="00422362">
        <w:t>A</w:t>
      </w:r>
      <w:r w:rsidR="00422362" w:rsidRPr="00422362">
        <w:t>ccuracy</w:t>
      </w:r>
      <w:r w:rsidR="00422362">
        <w:t xml:space="preserve"> Analysis</w:t>
      </w:r>
    </w:p>
    <w:p w14:paraId="44E518E7" w14:textId="6CDB2A2B" w:rsidR="00B63E2F" w:rsidRDefault="000C76D0" w:rsidP="00CE0424">
      <w:pPr>
        <w:pStyle w:val="BodyText"/>
      </w:pPr>
      <w:r>
        <w:t>TR 38.825</w:t>
      </w:r>
      <w:r w:rsidR="00327C58">
        <w:t xml:space="preserve"> Section 6.3.2.4</w:t>
      </w:r>
      <w:r>
        <w:t xml:space="preserve"> has captured the following evaluation results of synchronization accuracy</w:t>
      </w:r>
      <w:r w:rsidR="00422362">
        <w:t xml:space="preserve"> as provided by RAN1.</w:t>
      </w:r>
    </w:p>
    <w:p w14:paraId="76A930F0" w14:textId="491D259D" w:rsidR="00422362" w:rsidRDefault="00422362" w:rsidP="00CE0424">
      <w:pPr>
        <w:pStyle w:val="BodyText"/>
      </w:pPr>
    </w:p>
    <w:p w14:paraId="6773320B" w14:textId="77777777" w:rsidR="00B836CE" w:rsidRPr="00B836CE" w:rsidRDefault="00B836CE" w:rsidP="00B836CE">
      <w:pPr>
        <w:keepNext/>
        <w:keepLines/>
        <w:spacing w:before="120"/>
        <w:ind w:left="1418" w:hanging="1418"/>
        <w:outlineLvl w:val="3"/>
        <w:rPr>
          <w:rFonts w:ascii="Arial" w:hAnsi="Arial"/>
          <w:i/>
          <w:sz w:val="24"/>
        </w:rPr>
      </w:pPr>
      <w:bookmarkStart w:id="23" w:name="_Toc6177039"/>
      <w:r w:rsidRPr="00B836CE">
        <w:rPr>
          <w:rFonts w:ascii="Arial" w:hAnsi="Arial"/>
          <w:i/>
          <w:sz w:val="24"/>
        </w:rPr>
        <w:t>6.3.2.4</w:t>
      </w:r>
      <w:r w:rsidRPr="00B836CE">
        <w:rPr>
          <w:rFonts w:ascii="Arial" w:hAnsi="Arial"/>
          <w:i/>
          <w:sz w:val="24"/>
        </w:rPr>
        <w:tab/>
        <w:t>Synchronization accuracy</w:t>
      </w:r>
      <w:bookmarkEnd w:id="23"/>
    </w:p>
    <w:p w14:paraId="7E38E341" w14:textId="621583B4" w:rsidR="00B836CE" w:rsidRDefault="00B836CE" w:rsidP="00CE0424">
      <w:pPr>
        <w:pStyle w:val="BodyText"/>
      </w:pPr>
      <w:r>
        <w:t>…</w:t>
      </w:r>
    </w:p>
    <w:p w14:paraId="51CAA354" w14:textId="77777777" w:rsidR="003A48A7" w:rsidRPr="00327C58" w:rsidRDefault="003A48A7" w:rsidP="003A48A7">
      <w:pPr>
        <w:rPr>
          <w:i/>
        </w:rPr>
      </w:pPr>
      <w:r w:rsidRPr="00327C58">
        <w:rPr>
          <w:i/>
        </w:rPr>
        <w:lastRenderedPageBreak/>
        <w:t>The evaluation results on maximum timing synchronization error for different inter-site distances without UE propagation delay compensation are summarized in Table 6.3.2.4-1, while the results on maximum timing synchronization error with UE propagation delay compensation are shown in Table 6.3.2.4-2.</w:t>
      </w:r>
    </w:p>
    <w:p w14:paraId="65E89D3D" w14:textId="77777777" w:rsidR="003A48A7" w:rsidRPr="00327C58" w:rsidRDefault="003A48A7" w:rsidP="003A48A7">
      <w:pPr>
        <w:keepNext/>
        <w:keepLines/>
        <w:spacing w:before="60"/>
        <w:jc w:val="center"/>
        <w:rPr>
          <w:rFonts w:ascii="Arial" w:hAnsi="Arial"/>
          <w:b/>
          <w:i/>
          <w:lang w:eastAsia="zh-CN"/>
        </w:rPr>
      </w:pPr>
      <w:r w:rsidRPr="00327C58">
        <w:rPr>
          <w:rFonts w:ascii="Arial" w:hAnsi="Arial"/>
          <w:b/>
          <w:i/>
          <w:lang w:eastAsia="zh-CN"/>
        </w:rPr>
        <w:t xml:space="preserve">Table 6.3.2.4-1: Summary of </w:t>
      </w:r>
      <w:r w:rsidRPr="00327C58">
        <w:rPr>
          <w:rFonts w:ascii="Arial" w:hAnsi="Arial"/>
          <w:b/>
          <w:i/>
        </w:rPr>
        <w:t xml:space="preserve">maximum timing synchronization error </w:t>
      </w:r>
      <w:r w:rsidRPr="00327C58">
        <w:rPr>
          <w:rFonts w:ascii="Arial" w:hAnsi="Arial"/>
          <w:b/>
          <w:i/>
          <w:lang w:eastAsia="zh-CN"/>
        </w:rPr>
        <w:t xml:space="preserve">results for </w:t>
      </w:r>
      <w:r w:rsidRPr="00327C58">
        <w:rPr>
          <w:rFonts w:ascii="Arial" w:hAnsi="Arial"/>
          <w:b/>
          <w:i/>
          <w:lang w:eastAsia="zh-CN"/>
        </w:rPr>
        <w:br/>
        <w:t>different inter-site distances without UE 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3A48A7" w:rsidRPr="00327C58" w14:paraId="35DAFB48"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7E51131" w14:textId="77777777" w:rsidR="003A48A7" w:rsidRPr="00327C58" w:rsidRDefault="003A48A7" w:rsidP="00252EA7">
            <w:pPr>
              <w:keepNext/>
              <w:keepLines/>
              <w:spacing w:after="0"/>
              <w:jc w:val="center"/>
              <w:rPr>
                <w:rFonts w:ascii="Arial" w:hAnsi="Arial"/>
                <w:b/>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9D14B16"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15kHz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D3A4D02"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30kHz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0A8FA2E"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60kHz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D926FE2"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120kHz SCS</w:t>
            </w:r>
          </w:p>
        </w:tc>
      </w:tr>
      <w:tr w:rsidR="003A48A7" w:rsidRPr="00327C58" w14:paraId="265F0980"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CE6CC41"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t xml:space="preserve">R1-1900156 </w:t>
            </w:r>
            <w:r w:rsidRPr="00327C58">
              <w:rPr>
                <w:rFonts w:ascii="Arial" w:hAnsi="Arial"/>
                <w:i/>
                <w:color w:val="000000"/>
                <w:sz w:val="16"/>
                <w:szCs w:val="16"/>
              </w:rPr>
              <w:t>[21]</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D369DF3" w14:textId="77777777" w:rsidR="003A48A7" w:rsidRPr="00327C58" w:rsidRDefault="003A48A7" w:rsidP="00252EA7">
            <w:pPr>
              <w:keepNext/>
              <w:keepLines/>
              <w:spacing w:after="0"/>
              <w:rPr>
                <w:rFonts w:ascii="Arial" w:hAnsi="Arial"/>
                <w:i/>
                <w:sz w:val="18"/>
              </w:rPr>
            </w:pPr>
            <w:r w:rsidRPr="00327C58">
              <w:rPr>
                <w:rFonts w:ascii="Arial" w:hAnsi="Arial"/>
                <w:i/>
                <w:sz w:val="18"/>
              </w:rPr>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3563FEE" w14:textId="77777777" w:rsidR="003A48A7" w:rsidRPr="00327C58" w:rsidRDefault="003A48A7" w:rsidP="00252EA7">
            <w:pPr>
              <w:keepNext/>
              <w:keepLines/>
              <w:spacing w:after="0"/>
              <w:rPr>
                <w:rFonts w:ascii="Arial" w:hAnsi="Arial"/>
                <w:i/>
                <w:sz w:val="18"/>
              </w:rPr>
            </w:pPr>
            <w:r w:rsidRPr="00327C58">
              <w:rPr>
                <w:rFonts w:ascii="Arial" w:hAnsi="Arial"/>
                <w:i/>
                <w:sz w:val="18"/>
              </w:rPr>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EDF6055"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A7F72AD"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[-82ns,180ns]</w:t>
            </w:r>
          </w:p>
        </w:tc>
      </w:tr>
      <w:tr w:rsidR="003A48A7" w:rsidRPr="00327C58" w14:paraId="5AB938A7"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6FC4540"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R1-1900903 </w:t>
            </w:r>
            <w:r w:rsidRPr="00327C58">
              <w:rPr>
                <w:rFonts w:ascii="Arial" w:hAnsi="Arial"/>
                <w:i/>
                <w:color w:val="000000"/>
                <w:sz w:val="16"/>
                <w:szCs w:val="16"/>
              </w:rPr>
              <w:t>[30]</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6F9623F"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83AD4FE"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409E067"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9F297E0" w14:textId="77777777" w:rsidR="003A48A7" w:rsidRPr="00327C58" w:rsidRDefault="003A48A7" w:rsidP="00252EA7">
            <w:pPr>
              <w:keepNext/>
              <w:keepLines/>
              <w:spacing w:after="0"/>
              <w:rPr>
                <w:rFonts w:ascii="Arial" w:hAnsi="Arial"/>
                <w:i/>
                <w:sz w:val="18"/>
                <w:lang w:eastAsia="zh-CN"/>
              </w:rPr>
            </w:pPr>
          </w:p>
        </w:tc>
      </w:tr>
      <w:tr w:rsidR="003A48A7" w:rsidRPr="00327C58" w14:paraId="59E47766"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EBF3510" w14:textId="77777777" w:rsidR="003A48A7" w:rsidRPr="00327C58" w:rsidRDefault="003A48A7" w:rsidP="00252EA7">
            <w:pPr>
              <w:keepNext/>
              <w:keepLines/>
              <w:spacing w:after="0"/>
              <w:rPr>
                <w:rFonts w:ascii="Arial" w:hAnsi="Arial"/>
                <w:i/>
                <w:sz w:val="18"/>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R1-1900935 </w:t>
            </w:r>
            <w:r w:rsidRPr="00327C58">
              <w:rPr>
                <w:rFonts w:ascii="Arial" w:hAnsi="Arial"/>
                <w:i/>
                <w:color w:val="000000"/>
                <w:sz w:val="16"/>
                <w:szCs w:val="16"/>
              </w:rPr>
              <w:t>[23]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8636AD9" w14:textId="77777777" w:rsidR="003A48A7" w:rsidRPr="00327C58" w:rsidRDefault="003A48A7" w:rsidP="00252EA7">
            <w:pPr>
              <w:keepNext/>
              <w:keepLines/>
              <w:spacing w:after="0"/>
              <w:rPr>
                <w:rFonts w:ascii="Arial" w:hAnsi="Arial"/>
                <w:i/>
                <w:sz w:val="18"/>
              </w:rPr>
            </w:pPr>
            <w:r w:rsidRPr="00327C58">
              <w:rPr>
                <w:rFonts w:ascii="Arial" w:hAnsi="Arial"/>
                <w:i/>
                <w:sz w:val="18"/>
              </w:rPr>
              <w:t>215ns (20m ISD)</w:t>
            </w:r>
            <w:r w:rsidRPr="00327C58">
              <w:rPr>
                <w:rFonts w:ascii="Arial" w:hAnsi="Arial"/>
                <w:i/>
                <w:sz w:val="18"/>
              </w:rPr>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906DDF8"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77E7CD1"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A870C01" w14:textId="77777777" w:rsidR="003A48A7" w:rsidRPr="00327C58" w:rsidRDefault="003A48A7" w:rsidP="00252EA7">
            <w:pPr>
              <w:keepNext/>
              <w:keepLines/>
              <w:spacing w:after="0"/>
              <w:rPr>
                <w:rFonts w:ascii="Arial" w:hAnsi="Arial"/>
                <w:i/>
                <w:sz w:val="18"/>
                <w:lang w:eastAsia="zh-CN"/>
              </w:rPr>
            </w:pPr>
          </w:p>
        </w:tc>
      </w:tr>
      <w:tr w:rsidR="003A48A7" w:rsidRPr="00327C58" w14:paraId="5B7AC164"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CC5799E"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 xml:space="preserve">Source </w:t>
            </w:r>
            <w:r w:rsidRPr="00327C58">
              <w:rPr>
                <w:rFonts w:ascii="Arial" w:hAnsi="Arial"/>
                <w:i/>
                <w:sz w:val="18"/>
                <w:vertAlign w:val="superscript"/>
              </w:rPr>
              <w:t>(1)</w:t>
            </w:r>
            <w:r w:rsidRPr="00327C58">
              <w:rPr>
                <w:rFonts w:ascii="Arial" w:hAnsi="Arial"/>
                <w:i/>
                <w:sz w:val="18"/>
              </w:rPr>
              <w:t xml:space="preserve"> </w:t>
            </w:r>
            <w:r w:rsidRPr="00327C58">
              <w:rPr>
                <w:rFonts w:ascii="Arial" w:hAnsi="Arial"/>
                <w:i/>
                <w:sz w:val="18"/>
              </w:rPr>
              <w:br/>
            </w:r>
            <w:r w:rsidRPr="00327C58">
              <w:rPr>
                <w:rFonts w:ascii="Arial" w:hAnsi="Arial"/>
                <w:i/>
                <w:sz w:val="18"/>
                <w:lang w:eastAsia="zh-CN"/>
              </w:rPr>
              <w:t xml:space="preserve">R1-1901072 </w:t>
            </w:r>
            <w:r w:rsidRPr="00327C58">
              <w:rPr>
                <w:rFonts w:ascii="Arial" w:hAnsi="Arial"/>
                <w:i/>
                <w:color w:val="000000"/>
                <w:sz w:val="16"/>
                <w:szCs w:val="16"/>
              </w:rPr>
              <w:t>[27]</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ED77C04"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BBD6239"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B6DE419" w14:textId="77777777" w:rsidR="003A48A7" w:rsidRPr="00327C58" w:rsidRDefault="003A48A7" w:rsidP="00252EA7">
            <w:pPr>
              <w:keepNext/>
              <w:keepLines/>
              <w:spacing w:after="0"/>
              <w:rPr>
                <w:rFonts w:ascii="Arial" w:hAnsi="Arial"/>
                <w:i/>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1D4602F" w14:textId="77777777" w:rsidR="003A48A7" w:rsidRPr="00327C58" w:rsidRDefault="003A48A7" w:rsidP="00252EA7">
            <w:pPr>
              <w:keepNext/>
              <w:keepLines/>
              <w:spacing w:after="0"/>
              <w:rPr>
                <w:rFonts w:ascii="Arial" w:hAnsi="Arial"/>
                <w:i/>
                <w:sz w:val="18"/>
                <w:lang w:eastAsia="zh-CN"/>
              </w:rPr>
            </w:pPr>
          </w:p>
        </w:tc>
      </w:tr>
      <w:tr w:rsidR="003A48A7" w:rsidRPr="00327C58" w14:paraId="07911BEB"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F59FCC3"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R1-1901252 </w:t>
            </w:r>
            <w:r w:rsidRPr="00327C58">
              <w:rPr>
                <w:rFonts w:ascii="Arial" w:hAnsi="Arial"/>
                <w:i/>
                <w:color w:val="000000"/>
                <w:sz w:val="16"/>
                <w:szCs w:val="16"/>
              </w:rPr>
              <w:t>[24]</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A4279BE" w14:textId="77777777" w:rsidR="003A48A7" w:rsidRPr="00327C58" w:rsidRDefault="003A48A7" w:rsidP="00252EA7">
            <w:pPr>
              <w:keepNext/>
              <w:keepLines/>
              <w:spacing w:after="0"/>
              <w:rPr>
                <w:rFonts w:ascii="Arial" w:hAnsi="Arial"/>
                <w:i/>
                <w:sz w:val="18"/>
              </w:rPr>
            </w:pPr>
            <w:r w:rsidRPr="00327C58">
              <w:rPr>
                <w:rFonts w:ascii="Arial" w:hAnsi="Arial"/>
                <w:bCs/>
                <w:i/>
                <w:sz w:val="18"/>
                <w:lang w:eastAsia="zh-CN"/>
              </w:rPr>
              <w:t>506</w:t>
            </w:r>
            <w:r w:rsidRPr="00327C58">
              <w:rPr>
                <w:rFonts w:ascii="Arial" w:hAnsi="Arial"/>
                <w:i/>
                <w:sz w:val="18"/>
              </w:rPr>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3452AA4" w14:textId="77777777" w:rsidR="003A48A7" w:rsidRPr="00327C58" w:rsidRDefault="003A48A7" w:rsidP="00252EA7">
            <w:pPr>
              <w:keepNext/>
              <w:keepLines/>
              <w:spacing w:after="0"/>
              <w:rPr>
                <w:rFonts w:ascii="Arial" w:hAnsi="Arial"/>
                <w:i/>
                <w:sz w:val="18"/>
              </w:rPr>
            </w:pPr>
            <w:r w:rsidRPr="00327C58">
              <w:rPr>
                <w:rFonts w:ascii="Arial" w:hAnsi="Arial"/>
                <w:i/>
                <w:sz w:val="18"/>
              </w:rPr>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F81AD64" w14:textId="77777777" w:rsidR="003A48A7" w:rsidRPr="00327C58" w:rsidRDefault="003A48A7" w:rsidP="00252EA7">
            <w:pPr>
              <w:keepNext/>
              <w:keepLines/>
              <w:spacing w:after="0"/>
              <w:rPr>
                <w:rFonts w:ascii="Arial" w:hAnsi="Arial"/>
                <w:i/>
                <w:sz w:val="18"/>
              </w:rPr>
            </w:pPr>
            <w:r w:rsidRPr="00327C58">
              <w:rPr>
                <w:rFonts w:ascii="Arial" w:hAnsi="Arial"/>
                <w:i/>
                <w:sz w:val="18"/>
              </w:rPr>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CE5D109" w14:textId="77777777" w:rsidR="003A48A7" w:rsidRPr="00327C58" w:rsidRDefault="003A48A7" w:rsidP="00252EA7">
            <w:pPr>
              <w:keepNext/>
              <w:keepLines/>
              <w:spacing w:after="0"/>
              <w:rPr>
                <w:rFonts w:ascii="Arial" w:hAnsi="Arial"/>
                <w:i/>
                <w:sz w:val="18"/>
                <w:lang w:eastAsia="zh-CN"/>
              </w:rPr>
            </w:pPr>
          </w:p>
        </w:tc>
      </w:tr>
      <w:tr w:rsidR="003A48A7" w:rsidRPr="00327C58" w14:paraId="651AC246" w14:textId="77777777" w:rsidTr="00252EA7">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4E8AB16" w14:textId="77777777" w:rsidR="003A48A7" w:rsidRPr="00327C58" w:rsidRDefault="003A48A7" w:rsidP="00252EA7">
            <w:pPr>
              <w:keepNext/>
              <w:keepLines/>
              <w:spacing w:after="0"/>
              <w:rPr>
                <w:rFonts w:ascii="Arial" w:hAnsi="Arial"/>
                <w:i/>
                <w:sz w:val="18"/>
              </w:rPr>
            </w:pPr>
            <w:r w:rsidRPr="00327C58">
              <w:rPr>
                <w:rFonts w:ascii="Arial" w:hAnsi="Arial"/>
                <w:i/>
                <w:sz w:val="18"/>
              </w:rPr>
              <w:t>Source</w:t>
            </w:r>
            <w:r w:rsidRPr="00327C58">
              <w:rPr>
                <w:rFonts w:ascii="Arial" w:hAnsi="Arial"/>
                <w:i/>
                <w:sz w:val="18"/>
              </w:rPr>
              <w:br/>
            </w:r>
            <w:bookmarkStart w:id="24" w:name="_Hlk2627648"/>
            <w:r w:rsidRPr="00327C58">
              <w:rPr>
                <w:rFonts w:ascii="Arial" w:hAnsi="Arial"/>
                <w:i/>
                <w:sz w:val="18"/>
                <w:lang w:eastAsia="zh-CN"/>
              </w:rPr>
              <w:t>R1-1901353</w:t>
            </w:r>
            <w:bookmarkEnd w:id="24"/>
            <w:r w:rsidRPr="00327C58">
              <w:rPr>
                <w:rFonts w:ascii="Arial" w:hAnsi="Arial"/>
                <w:i/>
                <w:sz w:val="18"/>
                <w:lang w:eastAsia="zh-CN"/>
              </w:rPr>
              <w:t xml:space="preserve"> </w:t>
            </w:r>
            <w:r w:rsidRPr="00327C58">
              <w:rPr>
                <w:rFonts w:ascii="Arial" w:hAnsi="Arial"/>
                <w:i/>
                <w:color w:val="000000"/>
                <w:sz w:val="16"/>
                <w:szCs w:val="16"/>
              </w:rPr>
              <w:t>[31]</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CF844FB" w14:textId="77777777" w:rsidR="003A48A7" w:rsidRPr="00327C58" w:rsidRDefault="003A48A7" w:rsidP="00252EA7">
            <w:pPr>
              <w:keepNext/>
              <w:keepLines/>
              <w:spacing w:after="0"/>
              <w:rPr>
                <w:rFonts w:ascii="Arial" w:hAnsi="Arial"/>
                <w:i/>
                <w:sz w:val="18"/>
              </w:rPr>
            </w:pPr>
            <w:r w:rsidRPr="00327C58">
              <w:rPr>
                <w:rFonts w:ascii="Arial" w:hAnsi="Arial"/>
                <w:i/>
                <w:sz w:val="18"/>
              </w:rPr>
              <w:t>315ns (10m ISD)</w:t>
            </w:r>
            <w:r w:rsidRPr="00327C58">
              <w:rPr>
                <w:rFonts w:ascii="Arial" w:hAnsi="Arial"/>
                <w:i/>
                <w:sz w:val="18"/>
              </w:rPr>
              <w:br/>
              <w:t>350ns (20m ISD)</w:t>
            </w:r>
            <w:r w:rsidRPr="00327C58">
              <w:rPr>
                <w:rFonts w:ascii="Arial" w:hAnsi="Arial"/>
                <w:i/>
                <w:sz w:val="18"/>
              </w:rPr>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7B30CA" w14:textId="77777777" w:rsidR="003A48A7" w:rsidRPr="00327C58" w:rsidRDefault="003A48A7" w:rsidP="00252EA7">
            <w:pPr>
              <w:keepNext/>
              <w:keepLines/>
              <w:spacing w:after="0"/>
              <w:rPr>
                <w:rFonts w:ascii="Arial" w:hAnsi="Arial"/>
                <w:i/>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00BACE4" w14:textId="77777777" w:rsidR="003A48A7" w:rsidRPr="00327C58" w:rsidRDefault="003A48A7" w:rsidP="00252EA7">
            <w:pPr>
              <w:keepNext/>
              <w:keepLines/>
              <w:spacing w:after="0"/>
              <w:rPr>
                <w:rFonts w:ascii="Arial" w:hAnsi="Arial"/>
                <w:i/>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AF49C3F" w14:textId="77777777" w:rsidR="003A48A7" w:rsidRPr="00327C58" w:rsidRDefault="003A48A7" w:rsidP="00252EA7">
            <w:pPr>
              <w:keepNext/>
              <w:keepLines/>
              <w:spacing w:after="0"/>
              <w:rPr>
                <w:rFonts w:ascii="Arial" w:hAnsi="Arial"/>
                <w:i/>
                <w:sz w:val="18"/>
                <w:lang w:eastAsia="zh-CN"/>
              </w:rPr>
            </w:pPr>
          </w:p>
        </w:tc>
      </w:tr>
      <w:tr w:rsidR="003A48A7" w:rsidRPr="00327C58" w14:paraId="4E640B73" w14:textId="77777777" w:rsidTr="00252EA7">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14:paraId="4E9BE9C5" w14:textId="77777777" w:rsidR="003A48A7" w:rsidRPr="00327C58" w:rsidRDefault="003A48A7" w:rsidP="00252EA7">
            <w:pPr>
              <w:keepNext/>
              <w:keepLines/>
              <w:spacing w:after="0"/>
              <w:ind w:left="851" w:hanging="851"/>
              <w:rPr>
                <w:rFonts w:ascii="Arial" w:hAnsi="Arial"/>
                <w:i/>
                <w:sz w:val="18"/>
                <w:lang w:eastAsia="zh-CN"/>
              </w:rPr>
            </w:pPr>
            <w:r w:rsidRPr="00327C58">
              <w:rPr>
                <w:rFonts w:ascii="Arial" w:hAnsi="Arial"/>
                <w:i/>
                <w:sz w:val="18"/>
              </w:rPr>
              <w:t>Note</w:t>
            </w:r>
            <w:r w:rsidRPr="00327C58">
              <w:rPr>
                <w:i/>
              </w:rPr>
              <w:t xml:space="preserve"> (1):</w:t>
            </w:r>
            <w:r w:rsidRPr="00327C58">
              <w:rPr>
                <w:i/>
              </w:rPr>
              <w:tab/>
            </w:r>
            <w:r w:rsidRPr="00327C58">
              <w:rPr>
                <w:rFonts w:ascii="Arial" w:hAnsi="Arial"/>
                <w:i/>
                <w:sz w:val="18"/>
                <w:lang w:eastAsia="zh-CN"/>
              </w:rPr>
              <w:t xml:space="preserve">Half of the reported values of R1-1901072 </w:t>
            </w:r>
            <w:r w:rsidRPr="00327C58">
              <w:rPr>
                <w:rFonts w:ascii="Arial" w:hAnsi="Arial"/>
                <w:i/>
                <w:color w:val="000000"/>
                <w:sz w:val="16"/>
                <w:szCs w:val="16"/>
              </w:rPr>
              <w:t>[27]</w:t>
            </w:r>
            <w:r w:rsidRPr="00327C58">
              <w:rPr>
                <w:rFonts w:ascii="Arial" w:hAnsi="Arial"/>
                <w:i/>
                <w:sz w:val="18"/>
                <w:lang w:eastAsia="zh-CN"/>
              </w:rPr>
              <w:t xml:space="preserve"> are included in this table, to align the results with the other sources and to only account for </w:t>
            </w:r>
            <w:proofErr w:type="spellStart"/>
            <w:r w:rsidRPr="00327C58">
              <w:rPr>
                <w:rFonts w:ascii="Arial" w:hAnsi="Arial"/>
                <w:i/>
                <w:sz w:val="18"/>
                <w:lang w:eastAsia="zh-CN"/>
              </w:rPr>
              <w:t>gNB</w:t>
            </w:r>
            <w:proofErr w:type="spellEnd"/>
            <w:r w:rsidRPr="00327C58">
              <w:rPr>
                <w:rFonts w:ascii="Arial" w:hAnsi="Arial"/>
                <w:i/>
                <w:sz w:val="18"/>
                <w:lang w:eastAsia="zh-CN"/>
              </w:rPr>
              <w:t>-to-UE and not UE-to-UE synchronization accuracy.</w:t>
            </w:r>
          </w:p>
        </w:tc>
      </w:tr>
    </w:tbl>
    <w:p w14:paraId="6F180F4B" w14:textId="77777777" w:rsidR="003A48A7" w:rsidRPr="00327C58" w:rsidRDefault="003A48A7" w:rsidP="003A48A7">
      <w:pPr>
        <w:rPr>
          <w:i/>
          <w:lang w:eastAsia="zh-CN"/>
        </w:rPr>
      </w:pPr>
    </w:p>
    <w:p w14:paraId="090FAC42" w14:textId="77777777" w:rsidR="003A48A7" w:rsidRPr="00327C58" w:rsidRDefault="003A48A7" w:rsidP="003A48A7">
      <w:pPr>
        <w:keepNext/>
        <w:keepLines/>
        <w:spacing w:before="60"/>
        <w:jc w:val="center"/>
        <w:rPr>
          <w:rFonts w:ascii="Arial" w:hAnsi="Arial"/>
          <w:b/>
          <w:i/>
          <w:lang w:eastAsia="zh-CN"/>
        </w:rPr>
      </w:pPr>
      <w:r w:rsidRPr="00327C58">
        <w:rPr>
          <w:rFonts w:ascii="Arial" w:hAnsi="Arial"/>
          <w:b/>
          <w:i/>
          <w:lang w:eastAsia="zh-CN"/>
        </w:rPr>
        <w:t xml:space="preserve">Table 6.3.2.4-2: Summary of </w:t>
      </w:r>
      <w:r w:rsidRPr="00327C58">
        <w:rPr>
          <w:rFonts w:ascii="Arial" w:hAnsi="Arial"/>
          <w:b/>
          <w:i/>
        </w:rPr>
        <w:t xml:space="preserve">maximum timing synchronization error </w:t>
      </w:r>
      <w:r w:rsidRPr="00327C58">
        <w:rPr>
          <w:rFonts w:ascii="Arial" w:hAnsi="Arial"/>
          <w:b/>
          <w:i/>
          <w:lang w:eastAsia="zh-CN"/>
        </w:rPr>
        <w:t xml:space="preserve">results </w:t>
      </w:r>
      <w:r w:rsidRPr="00327C58">
        <w:rPr>
          <w:rFonts w:ascii="Arial" w:hAnsi="Arial"/>
          <w:b/>
          <w:i/>
          <w:lang w:eastAsia="zh-CN"/>
        </w:rPr>
        <w:br/>
        <w:t>with UE 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3A48A7" w:rsidRPr="00327C58" w14:paraId="17E2F815" w14:textId="77777777" w:rsidTr="00252EA7">
        <w:trPr>
          <w:jc w:val="center"/>
        </w:trPr>
        <w:tc>
          <w:tcPr>
            <w:tcW w:w="1556" w:type="dxa"/>
            <w:shd w:val="clear" w:color="auto" w:fill="auto"/>
            <w:vAlign w:val="center"/>
          </w:tcPr>
          <w:p w14:paraId="395004C4" w14:textId="77777777" w:rsidR="003A48A7" w:rsidRPr="00327C58" w:rsidRDefault="003A48A7" w:rsidP="00252EA7">
            <w:pPr>
              <w:keepNext/>
              <w:keepLines/>
              <w:spacing w:after="0"/>
              <w:jc w:val="center"/>
              <w:rPr>
                <w:rFonts w:ascii="Arial" w:hAnsi="Arial"/>
                <w:b/>
                <w:i/>
                <w:sz w:val="18"/>
                <w:lang w:eastAsia="zh-CN"/>
              </w:rPr>
            </w:pPr>
          </w:p>
        </w:tc>
        <w:tc>
          <w:tcPr>
            <w:tcW w:w="1462" w:type="dxa"/>
            <w:shd w:val="clear" w:color="auto" w:fill="auto"/>
            <w:vAlign w:val="center"/>
          </w:tcPr>
          <w:p w14:paraId="4DD3B429"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15kHz SCS</w:t>
            </w:r>
          </w:p>
        </w:tc>
        <w:tc>
          <w:tcPr>
            <w:tcW w:w="1463" w:type="dxa"/>
            <w:shd w:val="clear" w:color="auto" w:fill="auto"/>
            <w:vAlign w:val="center"/>
          </w:tcPr>
          <w:p w14:paraId="4DB36462"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30kHz SCS</w:t>
            </w:r>
          </w:p>
        </w:tc>
        <w:tc>
          <w:tcPr>
            <w:tcW w:w="1463" w:type="dxa"/>
            <w:shd w:val="clear" w:color="auto" w:fill="auto"/>
            <w:vAlign w:val="center"/>
          </w:tcPr>
          <w:p w14:paraId="761ED51F" w14:textId="77777777" w:rsidR="003A48A7" w:rsidRPr="00327C58" w:rsidRDefault="003A48A7" w:rsidP="00252EA7">
            <w:pPr>
              <w:keepNext/>
              <w:keepLines/>
              <w:spacing w:after="0"/>
              <w:jc w:val="center"/>
              <w:rPr>
                <w:rFonts w:ascii="Arial" w:hAnsi="Arial"/>
                <w:b/>
                <w:i/>
                <w:sz w:val="18"/>
                <w:lang w:eastAsia="zh-CN"/>
              </w:rPr>
            </w:pPr>
            <w:r w:rsidRPr="00327C58">
              <w:rPr>
                <w:rFonts w:ascii="Arial" w:hAnsi="Arial"/>
                <w:b/>
                <w:i/>
                <w:sz w:val="18"/>
                <w:lang w:eastAsia="zh-CN"/>
              </w:rPr>
              <w:t>60kHz SCS</w:t>
            </w:r>
          </w:p>
        </w:tc>
      </w:tr>
      <w:tr w:rsidR="003A48A7" w:rsidRPr="00327C58" w14:paraId="65A5D249" w14:textId="77777777" w:rsidTr="00252EA7">
        <w:trPr>
          <w:jc w:val="center"/>
        </w:trPr>
        <w:tc>
          <w:tcPr>
            <w:tcW w:w="1556" w:type="dxa"/>
            <w:shd w:val="clear" w:color="auto" w:fill="auto"/>
            <w:vAlign w:val="center"/>
          </w:tcPr>
          <w:p w14:paraId="7953EDCE"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R1-1900156 </w:t>
            </w:r>
            <w:r w:rsidRPr="00327C58">
              <w:rPr>
                <w:rFonts w:ascii="Arial" w:hAnsi="Arial"/>
                <w:i/>
                <w:color w:val="000000"/>
                <w:sz w:val="16"/>
                <w:szCs w:val="16"/>
              </w:rPr>
              <w:t>[21]</w:t>
            </w:r>
          </w:p>
        </w:tc>
        <w:tc>
          <w:tcPr>
            <w:tcW w:w="1462" w:type="dxa"/>
            <w:shd w:val="clear" w:color="auto" w:fill="auto"/>
            <w:vAlign w:val="center"/>
          </w:tcPr>
          <w:p w14:paraId="23D6F02C" w14:textId="77777777" w:rsidR="003A48A7" w:rsidRPr="00327C58" w:rsidRDefault="003A48A7" w:rsidP="00252EA7">
            <w:pPr>
              <w:keepNext/>
              <w:keepLines/>
              <w:spacing w:after="0"/>
              <w:rPr>
                <w:rFonts w:ascii="Arial" w:hAnsi="Arial"/>
                <w:i/>
                <w:sz w:val="18"/>
              </w:rPr>
            </w:pPr>
            <w:r w:rsidRPr="00327C58">
              <w:rPr>
                <w:rFonts w:ascii="Arial" w:hAnsi="Arial"/>
                <w:i/>
                <w:sz w:val="18"/>
              </w:rPr>
              <w:t>488ns</w:t>
            </w:r>
          </w:p>
        </w:tc>
        <w:tc>
          <w:tcPr>
            <w:tcW w:w="1463" w:type="dxa"/>
            <w:shd w:val="clear" w:color="auto" w:fill="auto"/>
            <w:vAlign w:val="center"/>
          </w:tcPr>
          <w:p w14:paraId="07C8970A" w14:textId="77777777" w:rsidR="003A48A7" w:rsidRPr="00327C58" w:rsidRDefault="003A48A7" w:rsidP="00252EA7">
            <w:pPr>
              <w:keepNext/>
              <w:keepLines/>
              <w:spacing w:after="0"/>
              <w:rPr>
                <w:rFonts w:ascii="Arial" w:hAnsi="Arial"/>
                <w:i/>
                <w:sz w:val="18"/>
              </w:rPr>
            </w:pPr>
            <w:r w:rsidRPr="00327C58">
              <w:rPr>
                <w:rFonts w:ascii="Arial" w:hAnsi="Arial"/>
                <w:i/>
                <w:sz w:val="18"/>
              </w:rPr>
              <w:t>357.5ns</w:t>
            </w:r>
          </w:p>
        </w:tc>
        <w:tc>
          <w:tcPr>
            <w:tcW w:w="1463" w:type="dxa"/>
            <w:shd w:val="clear" w:color="auto" w:fill="auto"/>
            <w:vAlign w:val="center"/>
          </w:tcPr>
          <w:p w14:paraId="3556FFF3" w14:textId="77777777" w:rsidR="003A48A7" w:rsidRPr="00327C58" w:rsidRDefault="003A48A7" w:rsidP="00252EA7">
            <w:pPr>
              <w:keepNext/>
              <w:keepLines/>
              <w:spacing w:after="0"/>
              <w:rPr>
                <w:rFonts w:ascii="Arial" w:hAnsi="Arial"/>
                <w:i/>
                <w:sz w:val="18"/>
              </w:rPr>
            </w:pPr>
            <w:r w:rsidRPr="00327C58">
              <w:rPr>
                <w:rFonts w:ascii="Arial" w:hAnsi="Arial"/>
                <w:i/>
                <w:sz w:val="18"/>
              </w:rPr>
              <w:t>276.5ns</w:t>
            </w:r>
          </w:p>
        </w:tc>
      </w:tr>
      <w:tr w:rsidR="003A48A7" w:rsidRPr="00327C58" w14:paraId="63044BC9" w14:textId="77777777" w:rsidTr="00252EA7">
        <w:trPr>
          <w:jc w:val="center"/>
        </w:trPr>
        <w:tc>
          <w:tcPr>
            <w:tcW w:w="1556" w:type="dxa"/>
            <w:shd w:val="clear" w:color="auto" w:fill="auto"/>
            <w:vAlign w:val="center"/>
          </w:tcPr>
          <w:p w14:paraId="25811F86"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lang w:eastAsia="zh-CN"/>
              </w:rPr>
              <w:t>Source</w:t>
            </w:r>
            <w:r w:rsidRPr="00327C58">
              <w:rPr>
                <w:rFonts w:ascii="Arial" w:hAnsi="Arial"/>
                <w:i/>
                <w:sz w:val="18"/>
                <w:lang w:eastAsia="zh-CN"/>
              </w:rPr>
              <w:br/>
              <w:t xml:space="preserve">R1-1901334 </w:t>
            </w:r>
            <w:r w:rsidRPr="00327C58">
              <w:rPr>
                <w:rFonts w:ascii="Arial" w:hAnsi="Arial"/>
                <w:i/>
                <w:color w:val="000000"/>
                <w:sz w:val="16"/>
                <w:szCs w:val="16"/>
              </w:rPr>
              <w:t>[22]</w:t>
            </w:r>
          </w:p>
        </w:tc>
        <w:tc>
          <w:tcPr>
            <w:tcW w:w="1462" w:type="dxa"/>
            <w:shd w:val="clear" w:color="auto" w:fill="auto"/>
            <w:vAlign w:val="center"/>
          </w:tcPr>
          <w:p w14:paraId="65A32BD2" w14:textId="77777777" w:rsidR="003A48A7" w:rsidRPr="00327C58" w:rsidRDefault="003A48A7" w:rsidP="00252EA7">
            <w:pPr>
              <w:keepNext/>
              <w:keepLines/>
              <w:spacing w:after="0"/>
              <w:rPr>
                <w:rFonts w:ascii="Arial" w:hAnsi="Arial"/>
                <w:i/>
                <w:sz w:val="18"/>
              </w:rPr>
            </w:pPr>
            <w:r w:rsidRPr="00327C58">
              <w:rPr>
                <w:rFonts w:ascii="Arial" w:hAnsi="Arial"/>
                <w:i/>
                <w:sz w:val="18"/>
              </w:rPr>
              <w:t>505ns</w:t>
            </w:r>
          </w:p>
        </w:tc>
        <w:tc>
          <w:tcPr>
            <w:tcW w:w="1463" w:type="dxa"/>
            <w:shd w:val="clear" w:color="auto" w:fill="auto"/>
            <w:vAlign w:val="center"/>
          </w:tcPr>
          <w:p w14:paraId="3FD516D1" w14:textId="77777777" w:rsidR="003A48A7" w:rsidRPr="00327C58" w:rsidRDefault="003A48A7" w:rsidP="00252EA7">
            <w:pPr>
              <w:keepNext/>
              <w:keepLines/>
              <w:spacing w:after="0"/>
              <w:rPr>
                <w:rFonts w:ascii="Arial" w:hAnsi="Arial"/>
                <w:i/>
                <w:sz w:val="18"/>
              </w:rPr>
            </w:pPr>
            <w:r w:rsidRPr="00327C58">
              <w:rPr>
                <w:rFonts w:ascii="Arial" w:hAnsi="Arial"/>
                <w:i/>
                <w:sz w:val="18"/>
              </w:rPr>
              <w:t>371ns</w:t>
            </w:r>
          </w:p>
        </w:tc>
        <w:tc>
          <w:tcPr>
            <w:tcW w:w="1463" w:type="dxa"/>
            <w:shd w:val="clear" w:color="auto" w:fill="auto"/>
            <w:vAlign w:val="center"/>
          </w:tcPr>
          <w:p w14:paraId="6CD92F9B" w14:textId="77777777" w:rsidR="003A48A7" w:rsidRPr="00327C58" w:rsidRDefault="003A48A7" w:rsidP="00252EA7">
            <w:pPr>
              <w:keepNext/>
              <w:keepLines/>
              <w:spacing w:after="0"/>
              <w:rPr>
                <w:rFonts w:ascii="Arial" w:hAnsi="Arial"/>
                <w:i/>
                <w:sz w:val="18"/>
              </w:rPr>
            </w:pPr>
            <w:r w:rsidRPr="00327C58">
              <w:rPr>
                <w:rFonts w:ascii="Arial" w:hAnsi="Arial"/>
                <w:i/>
                <w:sz w:val="18"/>
              </w:rPr>
              <w:t>287.5ns</w:t>
            </w:r>
          </w:p>
        </w:tc>
      </w:tr>
      <w:tr w:rsidR="003A48A7" w:rsidRPr="00327C58" w14:paraId="221DE870" w14:textId="77777777" w:rsidTr="00252EA7">
        <w:trPr>
          <w:jc w:val="center"/>
        </w:trPr>
        <w:tc>
          <w:tcPr>
            <w:tcW w:w="1556" w:type="dxa"/>
            <w:shd w:val="clear" w:color="auto" w:fill="auto"/>
            <w:vAlign w:val="center"/>
          </w:tcPr>
          <w:p w14:paraId="36DC4F3D"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R1-1900935 </w:t>
            </w:r>
            <w:r w:rsidRPr="00327C58">
              <w:rPr>
                <w:rFonts w:ascii="Arial" w:hAnsi="Arial"/>
                <w:i/>
                <w:color w:val="000000"/>
                <w:sz w:val="16"/>
                <w:szCs w:val="16"/>
              </w:rPr>
              <w:t>[23]</w:t>
            </w:r>
          </w:p>
        </w:tc>
        <w:tc>
          <w:tcPr>
            <w:tcW w:w="1462" w:type="dxa"/>
            <w:shd w:val="clear" w:color="auto" w:fill="auto"/>
            <w:vAlign w:val="center"/>
          </w:tcPr>
          <w:p w14:paraId="3CD89C3F" w14:textId="77777777" w:rsidR="003A48A7" w:rsidRPr="00327C58" w:rsidRDefault="003A48A7" w:rsidP="00252EA7">
            <w:pPr>
              <w:keepNext/>
              <w:keepLines/>
              <w:spacing w:after="0"/>
              <w:rPr>
                <w:rFonts w:ascii="Arial" w:hAnsi="Arial"/>
                <w:i/>
                <w:sz w:val="18"/>
              </w:rPr>
            </w:pPr>
            <w:r w:rsidRPr="00327C58">
              <w:rPr>
                <w:rFonts w:ascii="Arial" w:hAnsi="Arial"/>
                <w:i/>
                <w:sz w:val="18"/>
              </w:rPr>
              <w:t>472.5ns</w:t>
            </w:r>
          </w:p>
        </w:tc>
        <w:tc>
          <w:tcPr>
            <w:tcW w:w="1463" w:type="dxa"/>
            <w:shd w:val="clear" w:color="auto" w:fill="auto"/>
            <w:vAlign w:val="center"/>
          </w:tcPr>
          <w:p w14:paraId="5CEEE27E" w14:textId="77777777" w:rsidR="003A48A7" w:rsidRPr="00327C58" w:rsidRDefault="003A48A7" w:rsidP="00252EA7">
            <w:pPr>
              <w:keepNext/>
              <w:keepLines/>
              <w:spacing w:after="0"/>
              <w:rPr>
                <w:rFonts w:ascii="Arial" w:hAnsi="Arial"/>
                <w:i/>
                <w:sz w:val="18"/>
              </w:rPr>
            </w:pPr>
            <w:r w:rsidRPr="00327C58">
              <w:rPr>
                <w:rFonts w:ascii="Arial" w:hAnsi="Arial"/>
                <w:i/>
                <w:sz w:val="18"/>
              </w:rPr>
              <w:t>338.5ns</w:t>
            </w:r>
          </w:p>
        </w:tc>
        <w:tc>
          <w:tcPr>
            <w:tcW w:w="1463" w:type="dxa"/>
            <w:shd w:val="clear" w:color="auto" w:fill="auto"/>
            <w:vAlign w:val="center"/>
          </w:tcPr>
          <w:p w14:paraId="5373F229" w14:textId="77777777" w:rsidR="003A48A7" w:rsidRPr="00327C58" w:rsidRDefault="003A48A7" w:rsidP="00252EA7">
            <w:pPr>
              <w:keepNext/>
              <w:keepLines/>
              <w:spacing w:after="0"/>
              <w:rPr>
                <w:rFonts w:ascii="Arial" w:hAnsi="Arial"/>
                <w:i/>
                <w:sz w:val="18"/>
                <w:lang w:eastAsia="zh-CN"/>
              </w:rPr>
            </w:pPr>
          </w:p>
        </w:tc>
      </w:tr>
      <w:tr w:rsidR="003A48A7" w:rsidRPr="00327C58" w14:paraId="226BD952" w14:textId="77777777" w:rsidTr="00252EA7">
        <w:trPr>
          <w:jc w:val="center"/>
        </w:trPr>
        <w:tc>
          <w:tcPr>
            <w:tcW w:w="1556" w:type="dxa"/>
            <w:shd w:val="clear" w:color="auto" w:fill="auto"/>
            <w:vAlign w:val="center"/>
          </w:tcPr>
          <w:p w14:paraId="706AC67C" w14:textId="77777777" w:rsidR="003A48A7" w:rsidRPr="00327C58" w:rsidRDefault="003A48A7" w:rsidP="00252EA7">
            <w:pPr>
              <w:keepNext/>
              <w:keepLines/>
              <w:spacing w:after="0"/>
              <w:rPr>
                <w:rFonts w:ascii="Arial" w:hAnsi="Arial"/>
                <w:i/>
                <w:sz w:val="18"/>
                <w:lang w:eastAsia="zh-CN"/>
              </w:rPr>
            </w:pPr>
            <w:r w:rsidRPr="00327C58">
              <w:rPr>
                <w:rFonts w:ascii="Arial" w:hAnsi="Arial"/>
                <w:i/>
                <w:sz w:val="18"/>
              </w:rPr>
              <w:t>Source</w:t>
            </w:r>
            <w:r w:rsidRPr="00327C58">
              <w:rPr>
                <w:rFonts w:ascii="Arial" w:hAnsi="Arial"/>
                <w:i/>
                <w:sz w:val="18"/>
              </w:rPr>
              <w:br/>
            </w:r>
            <w:r w:rsidRPr="00327C58">
              <w:rPr>
                <w:rFonts w:ascii="Arial" w:hAnsi="Arial"/>
                <w:i/>
                <w:sz w:val="18"/>
                <w:lang w:eastAsia="zh-CN"/>
              </w:rPr>
              <w:t xml:space="preserve">R1-1901252 </w:t>
            </w:r>
            <w:r w:rsidRPr="00327C58">
              <w:rPr>
                <w:rFonts w:ascii="Arial" w:hAnsi="Arial"/>
                <w:i/>
                <w:color w:val="000000"/>
                <w:sz w:val="16"/>
                <w:szCs w:val="16"/>
              </w:rPr>
              <w:t>[24]</w:t>
            </w:r>
          </w:p>
        </w:tc>
        <w:tc>
          <w:tcPr>
            <w:tcW w:w="1462" w:type="dxa"/>
            <w:shd w:val="clear" w:color="auto" w:fill="auto"/>
            <w:vAlign w:val="center"/>
          </w:tcPr>
          <w:p w14:paraId="4B4D6CEC" w14:textId="77777777" w:rsidR="003A48A7" w:rsidRPr="00327C58" w:rsidRDefault="003A48A7" w:rsidP="00252EA7">
            <w:pPr>
              <w:keepNext/>
              <w:keepLines/>
              <w:spacing w:after="0"/>
              <w:rPr>
                <w:rFonts w:ascii="Arial" w:hAnsi="Arial"/>
                <w:i/>
                <w:sz w:val="18"/>
              </w:rPr>
            </w:pPr>
            <w:r w:rsidRPr="00327C58">
              <w:rPr>
                <w:rFonts w:ascii="Arial" w:hAnsi="Arial"/>
                <w:i/>
                <w:sz w:val="18"/>
              </w:rPr>
              <w:t>536ns</w:t>
            </w:r>
          </w:p>
        </w:tc>
        <w:tc>
          <w:tcPr>
            <w:tcW w:w="1463" w:type="dxa"/>
            <w:shd w:val="clear" w:color="auto" w:fill="auto"/>
            <w:vAlign w:val="center"/>
          </w:tcPr>
          <w:p w14:paraId="74586688" w14:textId="77777777" w:rsidR="003A48A7" w:rsidRPr="00327C58" w:rsidRDefault="003A48A7" w:rsidP="00252EA7">
            <w:pPr>
              <w:keepNext/>
              <w:keepLines/>
              <w:spacing w:after="0"/>
              <w:rPr>
                <w:rFonts w:ascii="Arial" w:hAnsi="Arial"/>
                <w:i/>
                <w:sz w:val="18"/>
              </w:rPr>
            </w:pPr>
            <w:r w:rsidRPr="00327C58">
              <w:rPr>
                <w:rFonts w:ascii="Arial" w:hAnsi="Arial"/>
                <w:i/>
                <w:sz w:val="18"/>
              </w:rPr>
              <w:t>438ns</w:t>
            </w:r>
          </w:p>
        </w:tc>
        <w:tc>
          <w:tcPr>
            <w:tcW w:w="1463" w:type="dxa"/>
            <w:shd w:val="clear" w:color="auto" w:fill="auto"/>
            <w:vAlign w:val="center"/>
          </w:tcPr>
          <w:p w14:paraId="7E627693" w14:textId="77777777" w:rsidR="003A48A7" w:rsidRPr="00327C58" w:rsidRDefault="003A48A7" w:rsidP="00252EA7">
            <w:pPr>
              <w:keepNext/>
              <w:keepLines/>
              <w:spacing w:after="0"/>
              <w:rPr>
                <w:rFonts w:ascii="Arial" w:hAnsi="Arial"/>
                <w:i/>
                <w:sz w:val="18"/>
              </w:rPr>
            </w:pPr>
            <w:r w:rsidRPr="00327C58">
              <w:rPr>
                <w:rFonts w:ascii="Arial" w:hAnsi="Arial"/>
                <w:i/>
                <w:sz w:val="18"/>
              </w:rPr>
              <w:t>357ns</w:t>
            </w:r>
          </w:p>
        </w:tc>
      </w:tr>
    </w:tbl>
    <w:p w14:paraId="1E7CD244" w14:textId="77777777" w:rsidR="003A48A7" w:rsidRPr="00327C58" w:rsidRDefault="003A48A7" w:rsidP="003A48A7">
      <w:pPr>
        <w:rPr>
          <w:i/>
        </w:rPr>
      </w:pPr>
    </w:p>
    <w:p w14:paraId="359B4C60" w14:textId="77777777" w:rsidR="003A48A7" w:rsidRPr="00327C58" w:rsidRDefault="003A48A7" w:rsidP="003A48A7">
      <w:pPr>
        <w:rPr>
          <w:i/>
        </w:rPr>
      </w:pPr>
      <w:r w:rsidRPr="00327C58">
        <w:rPr>
          <w:i/>
        </w:rPr>
        <w:t>Based on the evaluation results, the following has been observed:</w:t>
      </w:r>
    </w:p>
    <w:p w14:paraId="21CDD844" w14:textId="77777777" w:rsidR="003A48A7" w:rsidRPr="00327C58" w:rsidRDefault="003A48A7" w:rsidP="003A48A7">
      <w:pPr>
        <w:ind w:left="568" w:hanging="284"/>
        <w:rPr>
          <w:i/>
        </w:rPr>
      </w:pPr>
      <w:r w:rsidRPr="00327C58">
        <w:rPr>
          <w:i/>
        </w:rPr>
        <w:t>-</w:t>
      </w:r>
      <w:r w:rsidRPr="00327C58">
        <w:rPr>
          <w:i/>
        </w:rPr>
        <w:tab/>
        <w:t xml:space="preserve">If a UE were not to apply propagation delay compensation, a </w:t>
      </w:r>
      <w:proofErr w:type="spellStart"/>
      <w:r w:rsidRPr="00327C58">
        <w:rPr>
          <w:i/>
        </w:rPr>
        <w:t>gNB</w:t>
      </w:r>
      <w:proofErr w:type="spellEnd"/>
      <w:r w:rsidRPr="00327C58">
        <w:rPr>
          <w:i/>
        </w:rPr>
        <w:t>-to-UE timing synchronization accuracy of</w:t>
      </w:r>
    </w:p>
    <w:p w14:paraId="70EE76ED" w14:textId="77777777" w:rsidR="003A48A7" w:rsidRPr="00327C58" w:rsidRDefault="003A48A7" w:rsidP="003A48A7">
      <w:pPr>
        <w:ind w:left="851" w:hanging="284"/>
        <w:rPr>
          <w:i/>
        </w:rPr>
      </w:pPr>
      <w:r w:rsidRPr="00327C58">
        <w:rPr>
          <w:i/>
        </w:rPr>
        <w:t>-</w:t>
      </w:r>
      <w:r w:rsidRPr="00327C58">
        <w:rPr>
          <w:i/>
        </w:rPr>
        <w:tab/>
        <w:t>130 to 376ns for an ISD of 10m (3 sources)</w:t>
      </w:r>
    </w:p>
    <w:p w14:paraId="07555438" w14:textId="77777777" w:rsidR="003A48A7" w:rsidRPr="00327C58" w:rsidRDefault="003A48A7" w:rsidP="003A48A7">
      <w:pPr>
        <w:ind w:left="851" w:hanging="284"/>
        <w:rPr>
          <w:i/>
        </w:rPr>
      </w:pPr>
      <w:r w:rsidRPr="00327C58">
        <w:rPr>
          <w:i/>
        </w:rPr>
        <w:t>-</w:t>
      </w:r>
      <w:r w:rsidRPr="00327C58">
        <w:rPr>
          <w:i/>
        </w:rPr>
        <w:tab/>
        <w:t>215 to 506ns for an ISD of 20m (3 sources)</w:t>
      </w:r>
    </w:p>
    <w:p w14:paraId="6F8C8E08" w14:textId="77777777" w:rsidR="003A48A7" w:rsidRPr="00327C58" w:rsidRDefault="003A48A7" w:rsidP="003A48A7">
      <w:pPr>
        <w:ind w:left="851" w:hanging="284"/>
        <w:rPr>
          <w:i/>
        </w:rPr>
      </w:pPr>
      <w:r w:rsidRPr="00327C58">
        <w:rPr>
          <w:i/>
        </w:rPr>
        <w:t>-</w:t>
      </w:r>
      <w:r w:rsidRPr="00327C58">
        <w:rPr>
          <w:i/>
        </w:rPr>
        <w:tab/>
        <w:t>315 ns for an ISD of 60m (1 source)</w:t>
      </w:r>
    </w:p>
    <w:p w14:paraId="7E31B0C1" w14:textId="77777777" w:rsidR="003A48A7" w:rsidRPr="00327C58" w:rsidRDefault="003A48A7" w:rsidP="003A48A7">
      <w:pPr>
        <w:ind w:left="851" w:hanging="284"/>
        <w:rPr>
          <w:i/>
        </w:rPr>
      </w:pPr>
      <w:r w:rsidRPr="00327C58">
        <w:rPr>
          <w:i/>
        </w:rPr>
        <w:t>-</w:t>
      </w:r>
      <w:r w:rsidRPr="00327C58">
        <w:rPr>
          <w:i/>
        </w:rPr>
        <w:tab/>
        <w:t>355ns for an ISD of 114m (1 source)</w:t>
      </w:r>
    </w:p>
    <w:p w14:paraId="5356D306" w14:textId="77777777" w:rsidR="003A48A7" w:rsidRPr="00327C58" w:rsidRDefault="003A48A7" w:rsidP="003A48A7">
      <w:pPr>
        <w:ind w:left="851" w:hanging="284"/>
        <w:rPr>
          <w:i/>
        </w:rPr>
      </w:pPr>
      <w:r w:rsidRPr="00327C58">
        <w:rPr>
          <w:i/>
        </w:rPr>
        <w:t>-</w:t>
      </w:r>
      <w:r w:rsidRPr="00327C58">
        <w:rPr>
          <w:i/>
        </w:rPr>
        <w:tab/>
        <w:t>1080ns for an ISD of 250m (1 source)</w:t>
      </w:r>
    </w:p>
    <w:p w14:paraId="44EA7135" w14:textId="77777777" w:rsidR="003A48A7" w:rsidRPr="00327C58" w:rsidRDefault="003A48A7" w:rsidP="003A48A7">
      <w:pPr>
        <w:rPr>
          <w:i/>
        </w:rPr>
      </w:pPr>
      <w:r w:rsidRPr="00327C58">
        <w:rPr>
          <w:i/>
        </w:rPr>
        <w:t>Based on the RAN1 agreed evaluation assumptions can be achieved for Rel-15 NR with 15kHz SCS. The achievable accuracy without propagation delay compensation becomes worse as the ISD increases. 2 out of 6 sources note that a better synchronization accuracy can be achieved for higher SCS (i.e. the higher the SCS, the better the accuracy).</w:t>
      </w:r>
    </w:p>
    <w:p w14:paraId="7105EAE6" w14:textId="77777777" w:rsidR="003A48A7" w:rsidRPr="00327C58" w:rsidRDefault="003A48A7" w:rsidP="003A48A7">
      <w:pPr>
        <w:ind w:left="568" w:hanging="284"/>
        <w:rPr>
          <w:i/>
        </w:rPr>
      </w:pPr>
      <w:r w:rsidRPr="00327C58">
        <w:rPr>
          <w:i/>
        </w:rPr>
        <w:lastRenderedPageBreak/>
        <w:t>-</w:t>
      </w:r>
      <w:r w:rsidRPr="00327C58">
        <w:rPr>
          <w:i/>
        </w:rPr>
        <w:tab/>
        <w:t xml:space="preserve">If a UE was to apply propagation delay compensation, a </w:t>
      </w:r>
      <w:proofErr w:type="spellStart"/>
      <w:r w:rsidRPr="00327C58">
        <w:rPr>
          <w:i/>
        </w:rPr>
        <w:t>gNB</w:t>
      </w:r>
      <w:proofErr w:type="spellEnd"/>
      <w:r w:rsidRPr="00327C58">
        <w:rPr>
          <w:i/>
        </w:rPr>
        <w:t>-to-UE synchronization accuracy of 470ns to 540ns (from a total of 4 sources) for 15kHz SCS can be achieved independently of the ISD. The synchronization accuracy with propagation delay compensation improves for higher SCS (i.e. the higher the SCS, the better the accuracy).</w:t>
      </w:r>
    </w:p>
    <w:p w14:paraId="0B1161EF" w14:textId="77777777" w:rsidR="003A48A7" w:rsidRPr="00327C58" w:rsidRDefault="003A48A7" w:rsidP="003A48A7">
      <w:pPr>
        <w:ind w:left="568" w:hanging="284"/>
        <w:rPr>
          <w:i/>
        </w:rPr>
      </w:pPr>
      <w:r w:rsidRPr="00327C58">
        <w:rPr>
          <w:i/>
        </w:rPr>
        <w:t>-</w:t>
      </w:r>
      <w:r w:rsidRPr="00327C58">
        <w:rPr>
          <w:i/>
        </w:rPr>
        <w:tab/>
        <w:t>For small service areas with dense small cell deployments a propagation delay compensation by the UE is not required. The propagation delay compensation needs to be applied by the TSN UEs for larger service areas with more sparse cell deployments (inter-site distances &gt;200m to achieve a synchronization accuracy better than 1us).</w:t>
      </w:r>
    </w:p>
    <w:p w14:paraId="47B0B2D5" w14:textId="77777777" w:rsidR="00901CF5" w:rsidRPr="00901CF5" w:rsidRDefault="00901CF5" w:rsidP="00901CF5">
      <w:pPr>
        <w:keepNext/>
        <w:keepLines/>
        <w:spacing w:before="120"/>
        <w:ind w:left="1418" w:hanging="1418"/>
        <w:outlineLvl w:val="3"/>
        <w:rPr>
          <w:rFonts w:ascii="Arial" w:hAnsi="Arial"/>
          <w:i/>
          <w:sz w:val="24"/>
        </w:rPr>
      </w:pPr>
      <w:bookmarkStart w:id="25" w:name="_Toc6177044"/>
      <w:r w:rsidRPr="00901CF5">
        <w:rPr>
          <w:rFonts w:ascii="Arial" w:hAnsi="Arial"/>
          <w:i/>
          <w:sz w:val="24"/>
        </w:rPr>
        <w:t>6.3.5</w:t>
      </w:r>
      <w:r w:rsidRPr="00901CF5">
        <w:rPr>
          <w:rFonts w:ascii="Arial" w:hAnsi="Arial"/>
          <w:i/>
          <w:sz w:val="24"/>
        </w:rPr>
        <w:tab/>
        <w:t>Overall synchronization accuracy analysis</w:t>
      </w:r>
      <w:bookmarkEnd w:id="25"/>
    </w:p>
    <w:p w14:paraId="60C95E5B" w14:textId="77777777" w:rsidR="00901CF5" w:rsidRPr="00901CF5" w:rsidRDefault="00901CF5" w:rsidP="00901CF5">
      <w:pPr>
        <w:pStyle w:val="BodyText"/>
        <w:rPr>
          <w:rFonts w:ascii="Times New Roman" w:hAnsi="Times New Roman"/>
          <w:i/>
          <w:lang w:val="en-US"/>
        </w:rPr>
      </w:pPr>
      <w:bookmarkStart w:id="26" w:name="_Hlk2200063"/>
      <w:r w:rsidRPr="00901CF5">
        <w:rPr>
          <w:rFonts w:ascii="Times New Roman" w:hAnsi="Times New Roman"/>
          <w:i/>
          <w:lang w:val="en-US"/>
        </w:rPr>
        <w:t>The synchronization accuracy analysis is based on the following:</w:t>
      </w:r>
    </w:p>
    <w:bookmarkEnd w:id="26"/>
    <w:p w14:paraId="2835C61E" w14:textId="77777777" w:rsidR="00901CF5" w:rsidRPr="00901CF5" w:rsidRDefault="00901CF5" w:rsidP="00901CF5">
      <w:pPr>
        <w:pStyle w:val="BodyText"/>
        <w:ind w:left="27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 xml:space="preserve">Synchronization accuracy achievable over the </w:t>
      </w:r>
      <w:proofErr w:type="spellStart"/>
      <w:r w:rsidRPr="00901CF5">
        <w:rPr>
          <w:rFonts w:ascii="Times New Roman" w:hAnsi="Times New Roman"/>
          <w:i/>
          <w:lang w:val="en-US"/>
        </w:rPr>
        <w:t>Uu</w:t>
      </w:r>
      <w:proofErr w:type="spellEnd"/>
      <w:r w:rsidRPr="00901CF5">
        <w:rPr>
          <w:rFonts w:ascii="Times New Roman" w:hAnsi="Times New Roman"/>
          <w:i/>
          <w:lang w:val="en-US"/>
        </w:rPr>
        <w:t xml:space="preserve"> interface discussed in Section 6.3.2,</w:t>
      </w:r>
    </w:p>
    <w:p w14:paraId="31FE2672" w14:textId="77777777" w:rsidR="00901CF5" w:rsidRPr="00901CF5" w:rsidRDefault="00901CF5" w:rsidP="00901CF5">
      <w:pPr>
        <w:pStyle w:val="BodyText"/>
        <w:ind w:left="27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 xml:space="preserve">Synchronization accuracy between TSN GM clock and </w:t>
      </w:r>
      <w:proofErr w:type="spellStart"/>
      <w:r w:rsidRPr="00901CF5">
        <w:rPr>
          <w:rFonts w:ascii="Times New Roman" w:hAnsi="Times New Roman"/>
          <w:i/>
          <w:lang w:val="en-US"/>
        </w:rPr>
        <w:t>gNB</w:t>
      </w:r>
      <w:proofErr w:type="spellEnd"/>
      <w:r w:rsidRPr="00901CF5">
        <w:rPr>
          <w:rFonts w:ascii="Times New Roman" w:hAnsi="Times New Roman"/>
          <w:i/>
          <w:lang w:val="en-US"/>
        </w:rPr>
        <w:t xml:space="preserve"> discussed in Section 6.3.4, and</w:t>
      </w:r>
    </w:p>
    <w:p w14:paraId="7E15AA11" w14:textId="77777777" w:rsidR="00901CF5" w:rsidRPr="00901CF5" w:rsidRDefault="00901CF5" w:rsidP="00901CF5">
      <w:pPr>
        <w:pStyle w:val="BodyText"/>
        <w:ind w:left="27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 xml:space="preserve">Granularity of </w:t>
      </w:r>
      <w:r w:rsidRPr="00901CF5">
        <w:rPr>
          <w:rFonts w:ascii="Times New Roman" w:hAnsi="Times New Roman"/>
          <w:i/>
        </w:rPr>
        <w:t>signalled reference timing discussed in Section 6.4.2.</w:t>
      </w:r>
    </w:p>
    <w:p w14:paraId="202A5965" w14:textId="77777777" w:rsidR="00901CF5" w:rsidRPr="00901CF5" w:rsidRDefault="00901CF5" w:rsidP="00901CF5">
      <w:pPr>
        <w:pStyle w:val="BodyText"/>
        <w:rPr>
          <w:rFonts w:ascii="Times New Roman" w:hAnsi="Times New Roman"/>
          <w:i/>
        </w:rPr>
      </w:pPr>
      <w:bookmarkStart w:id="27" w:name="_Hlk2175958"/>
      <w:r w:rsidRPr="00901CF5">
        <w:rPr>
          <w:rFonts w:ascii="Times New Roman" w:hAnsi="Times New Roman"/>
          <w:i/>
        </w:rPr>
        <w:t xml:space="preserve">Considering the above and assuming 100 ns time error between TSN GM clock and </w:t>
      </w:r>
      <w:proofErr w:type="spellStart"/>
      <w:r w:rsidRPr="00901CF5">
        <w:rPr>
          <w:rFonts w:ascii="Times New Roman" w:hAnsi="Times New Roman"/>
          <w:i/>
        </w:rPr>
        <w:t>gNB</w:t>
      </w:r>
      <w:proofErr w:type="spellEnd"/>
      <w:r w:rsidRPr="00901CF5">
        <w:rPr>
          <w:rFonts w:ascii="Times New Roman" w:hAnsi="Times New Roman"/>
          <w:i/>
        </w:rPr>
        <w:t>, as well as the sub-carrier spacing (SCS) of 15 kHz, the overall synchronization accuracy error</w:t>
      </w:r>
      <w:bookmarkEnd w:id="27"/>
      <w:r w:rsidRPr="00901CF5">
        <w:rPr>
          <w:rFonts w:ascii="Times New Roman" w:hAnsi="Times New Roman"/>
          <w:i/>
        </w:rPr>
        <w:t xml:space="preserve"> between a clock source and UE clock would be equal to 665 ns (i.e. 540ns (air interface accuracy) + 100ns (network interface accuracy) + 25 ns (granularity/2)).</w:t>
      </w:r>
    </w:p>
    <w:p w14:paraId="13B43E0D" w14:textId="77777777" w:rsidR="00901CF5" w:rsidRPr="00901CF5" w:rsidRDefault="00901CF5" w:rsidP="00901CF5">
      <w:pPr>
        <w:pStyle w:val="BodyText"/>
        <w:rPr>
          <w:rFonts w:ascii="Times New Roman" w:hAnsi="Times New Roman"/>
          <w:i/>
        </w:rPr>
      </w:pPr>
      <w:r w:rsidRPr="00901CF5">
        <w:rPr>
          <w:rFonts w:ascii="Times New Roman" w:hAnsi="Times New Roman"/>
          <w:i/>
        </w:rPr>
        <w:t>Some remarks about the above accuracy analysis:</w:t>
      </w:r>
    </w:p>
    <w:p w14:paraId="04BD41B5" w14:textId="77777777" w:rsidR="00901CF5" w:rsidRPr="00901CF5" w:rsidRDefault="00901CF5" w:rsidP="00901CF5">
      <w:pPr>
        <w:pStyle w:val="BodyText"/>
        <w:ind w:left="630" w:hanging="36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Most UEs will achieve smaller errors when the network configures higher SCSs.</w:t>
      </w:r>
    </w:p>
    <w:p w14:paraId="6B8E6D15" w14:textId="77777777" w:rsidR="00901CF5" w:rsidRPr="00901CF5" w:rsidRDefault="00901CF5" w:rsidP="00901CF5">
      <w:pPr>
        <w:pStyle w:val="BodyText"/>
        <w:ind w:left="630" w:hanging="36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The above calculation assumes the propagation delay is either negligible (i.e. small service areas) or is compensated for in larger service areas.</w:t>
      </w:r>
    </w:p>
    <w:p w14:paraId="51FB9E89" w14:textId="77777777" w:rsidR="00901CF5" w:rsidRPr="00901CF5" w:rsidRDefault="00901CF5" w:rsidP="00901CF5">
      <w:pPr>
        <w:pStyle w:val="BodyText"/>
        <w:ind w:left="630" w:hanging="36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 xml:space="preserve">Without propagation delay compensation, for inter-site distances greater than 200m, the </w:t>
      </w:r>
      <w:proofErr w:type="spellStart"/>
      <w:r w:rsidRPr="00901CF5">
        <w:rPr>
          <w:rFonts w:ascii="Times New Roman" w:hAnsi="Times New Roman"/>
          <w:i/>
          <w:lang w:val="en-US"/>
        </w:rPr>
        <w:t>gNB</w:t>
      </w:r>
      <w:proofErr w:type="spellEnd"/>
      <w:r w:rsidRPr="00901CF5">
        <w:rPr>
          <w:rFonts w:ascii="Times New Roman" w:hAnsi="Times New Roman"/>
          <w:i/>
          <w:lang w:val="en-US"/>
        </w:rPr>
        <w:t>-to-UE timing synchronization accuracy may be worse than 1us.</w:t>
      </w:r>
      <w:bookmarkStart w:id="28" w:name="_Hlk2202065"/>
    </w:p>
    <w:p w14:paraId="3CFDDACA" w14:textId="77777777" w:rsidR="00901CF5" w:rsidRPr="00901CF5" w:rsidRDefault="00901CF5" w:rsidP="00901CF5">
      <w:pPr>
        <w:pStyle w:val="BodyText"/>
        <w:ind w:left="630" w:hanging="360"/>
        <w:rPr>
          <w:rFonts w:ascii="Times New Roman" w:hAnsi="Times New Roman"/>
          <w:i/>
          <w:lang w:val="en-US"/>
        </w:rPr>
      </w:pPr>
      <w:r w:rsidRPr="00901CF5">
        <w:rPr>
          <w:rFonts w:ascii="Times New Roman" w:hAnsi="Times New Roman"/>
          <w:i/>
          <w:lang w:val="en-US"/>
        </w:rPr>
        <w:t>-</w:t>
      </w:r>
      <w:r w:rsidRPr="00901CF5">
        <w:rPr>
          <w:rFonts w:ascii="Times New Roman" w:hAnsi="Times New Roman"/>
          <w:i/>
          <w:lang w:val="en-US"/>
        </w:rPr>
        <w:tab/>
        <w:t xml:space="preserve">The synchronization accuracy analysis above is a generic analysis and does not assume any </w:t>
      </w:r>
      <w:proofErr w:type="gramStart"/>
      <w:r w:rsidRPr="00901CF5">
        <w:rPr>
          <w:rFonts w:ascii="Times New Roman" w:hAnsi="Times New Roman"/>
          <w:i/>
          <w:lang w:val="en-US"/>
        </w:rPr>
        <w:t>particular solution</w:t>
      </w:r>
      <w:proofErr w:type="gramEnd"/>
      <w:r w:rsidRPr="00901CF5">
        <w:rPr>
          <w:rFonts w:ascii="Times New Roman" w:hAnsi="Times New Roman"/>
          <w:i/>
          <w:lang w:val="en-US"/>
        </w:rPr>
        <w:t xml:space="preserve"> in [5].</w:t>
      </w:r>
      <w:bookmarkEnd w:id="28"/>
    </w:p>
    <w:p w14:paraId="7EB56073" w14:textId="77777777" w:rsidR="00C91EE5" w:rsidRDefault="00C91EE5" w:rsidP="00C91EE5">
      <w:pPr>
        <w:pStyle w:val="BodyText"/>
      </w:pPr>
    </w:p>
    <w:p w14:paraId="7673D89A" w14:textId="03FA75C7" w:rsidR="00C91EE5" w:rsidRDefault="00C91EE5" w:rsidP="0045645E">
      <w:pPr>
        <w:pStyle w:val="Heading2"/>
      </w:pPr>
      <w:r>
        <w:t>Appendix B</w:t>
      </w:r>
      <w:r w:rsidR="00F535C4">
        <w:t xml:space="preserve">. </w:t>
      </w:r>
      <w:r w:rsidR="00EB024B">
        <w:t>TSN Time Synchronization</w:t>
      </w:r>
    </w:p>
    <w:p w14:paraId="2E0EFABB" w14:textId="7CC428B3" w:rsidR="00F13F66" w:rsidRDefault="00681057" w:rsidP="00681057">
      <w:pPr>
        <w:pStyle w:val="BodyText"/>
        <w:rPr>
          <w:color w:val="000000" w:themeColor="text1"/>
        </w:rPr>
      </w:pPr>
      <w:r>
        <w:rPr>
          <w:color w:val="000000" w:themeColor="text1"/>
        </w:rPr>
        <w:t xml:space="preserve">TS 23.501, clause 4.4.8.2, provides the </w:t>
      </w:r>
      <w:r w:rsidR="00811B4F">
        <w:rPr>
          <w:color w:val="000000" w:themeColor="text1"/>
        </w:rPr>
        <w:t>a</w:t>
      </w:r>
      <w:r w:rsidR="00811B4F" w:rsidRPr="00811B4F">
        <w:rPr>
          <w:color w:val="000000" w:themeColor="text1"/>
        </w:rPr>
        <w:t>rchitecture to support Time Sensitive Communication</w:t>
      </w:r>
      <w:r w:rsidR="00811B4F">
        <w:rPr>
          <w:color w:val="000000" w:themeColor="text1"/>
        </w:rPr>
        <w:t xml:space="preserve"> (TSN). </w:t>
      </w:r>
      <w:r w:rsidR="006A41DD">
        <w:rPr>
          <w:color w:val="000000" w:themeColor="text1"/>
        </w:rPr>
        <w:t>Clause 5.2</w:t>
      </w:r>
      <w:r w:rsidR="00AE3050">
        <w:rPr>
          <w:color w:val="000000" w:themeColor="text1"/>
        </w:rPr>
        <w:t xml:space="preserve">7 provides further information on </w:t>
      </w:r>
      <w:r w:rsidR="00AE3050" w:rsidRPr="00AE3050">
        <w:rPr>
          <w:color w:val="000000" w:themeColor="text1"/>
        </w:rPr>
        <w:t xml:space="preserve">TSN </w:t>
      </w:r>
      <w:r w:rsidR="00AE3050">
        <w:rPr>
          <w:color w:val="000000" w:themeColor="text1"/>
        </w:rPr>
        <w:t>t</w:t>
      </w:r>
      <w:r w:rsidR="00AE3050" w:rsidRPr="00AE3050">
        <w:rPr>
          <w:color w:val="000000" w:themeColor="text1"/>
        </w:rPr>
        <w:t xml:space="preserve">ime </w:t>
      </w:r>
      <w:r w:rsidR="00AE3050">
        <w:rPr>
          <w:color w:val="000000" w:themeColor="text1"/>
        </w:rPr>
        <w:t>s</w:t>
      </w:r>
      <w:r w:rsidR="00AE3050" w:rsidRPr="00AE3050">
        <w:rPr>
          <w:color w:val="000000" w:themeColor="text1"/>
        </w:rPr>
        <w:t>ynchronization</w:t>
      </w:r>
      <w:r w:rsidR="007E5F92">
        <w:rPr>
          <w:color w:val="000000" w:themeColor="text1"/>
        </w:rPr>
        <w:t xml:space="preserve">.  Excerpts from TS 23.501 </w:t>
      </w:r>
      <w:r w:rsidR="00424765">
        <w:rPr>
          <w:color w:val="000000" w:themeColor="text1"/>
        </w:rPr>
        <w:t xml:space="preserve">V16.1.0 are copied below </w:t>
      </w:r>
      <w:r w:rsidR="008A5906">
        <w:rPr>
          <w:color w:val="000000" w:themeColor="text1"/>
        </w:rPr>
        <w:t xml:space="preserve">for understanding the error components that contribute to the overall E2E synchronization </w:t>
      </w:r>
      <w:r w:rsidR="00F13F66">
        <w:rPr>
          <w:color w:val="000000" w:themeColor="text1"/>
        </w:rPr>
        <w:t>error.</w:t>
      </w:r>
    </w:p>
    <w:p w14:paraId="4535EFD9" w14:textId="413F2ED3" w:rsidR="00F13F66" w:rsidRDefault="00F13F66" w:rsidP="00681057">
      <w:pPr>
        <w:pStyle w:val="BodyText"/>
        <w:rPr>
          <w:color w:val="000000" w:themeColor="text1"/>
        </w:rPr>
      </w:pPr>
    </w:p>
    <w:p w14:paraId="775E72EC" w14:textId="77777777" w:rsidR="00700921" w:rsidRPr="0045645E" w:rsidRDefault="00700921" w:rsidP="0045645E">
      <w:pPr>
        <w:keepNext/>
        <w:keepLines/>
        <w:overflowPunct/>
        <w:autoSpaceDE/>
        <w:autoSpaceDN/>
        <w:adjustRightInd/>
        <w:spacing w:before="120"/>
        <w:textAlignment w:val="auto"/>
        <w:outlineLvl w:val="3"/>
        <w:rPr>
          <w:rFonts w:ascii="Arial" w:hAnsi="Arial"/>
          <w:i/>
          <w:sz w:val="24"/>
          <w:lang w:eastAsia="x-none"/>
        </w:rPr>
      </w:pPr>
      <w:bookmarkStart w:id="29" w:name="_Toc11136759"/>
      <w:r w:rsidRPr="0045645E">
        <w:rPr>
          <w:rFonts w:ascii="Arial" w:hAnsi="Arial"/>
          <w:i/>
          <w:sz w:val="24"/>
          <w:lang w:eastAsia="x-none"/>
        </w:rPr>
        <w:t>4.4.8.2</w:t>
      </w:r>
      <w:r w:rsidRPr="0045645E">
        <w:rPr>
          <w:rFonts w:ascii="Arial" w:hAnsi="Arial"/>
          <w:i/>
          <w:sz w:val="24"/>
          <w:lang w:eastAsia="x-none"/>
        </w:rPr>
        <w:tab/>
        <w:t>Architecture to support Time Sensitive Communication</w:t>
      </w:r>
      <w:bookmarkEnd w:id="29"/>
    </w:p>
    <w:p w14:paraId="7D6BB3ED" w14:textId="5D49E401" w:rsidR="00700921" w:rsidRDefault="00700921" w:rsidP="00700921">
      <w:pPr>
        <w:overflowPunct/>
        <w:autoSpaceDE/>
        <w:autoSpaceDN/>
        <w:adjustRightInd/>
        <w:textAlignment w:val="auto"/>
        <w:rPr>
          <w:i/>
          <w:lang w:eastAsia="x-none"/>
        </w:rPr>
      </w:pPr>
      <w:r w:rsidRPr="0045645E">
        <w:rPr>
          <w:i/>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w:t>
      </w:r>
    </w:p>
    <w:p w14:paraId="76BCD65F" w14:textId="7A82A8C6" w:rsidR="00700921" w:rsidRDefault="00700921" w:rsidP="00700921">
      <w:pPr>
        <w:overflowPunct/>
        <w:autoSpaceDE/>
        <w:autoSpaceDN/>
        <w:adjustRightInd/>
        <w:textAlignment w:val="auto"/>
        <w:rPr>
          <w:i/>
          <w:lang w:eastAsia="x-none"/>
        </w:rPr>
      </w:pPr>
      <w:r>
        <w:rPr>
          <w:i/>
          <w:lang w:eastAsia="x-none"/>
        </w:rPr>
        <w:t>…</w:t>
      </w:r>
    </w:p>
    <w:p w14:paraId="64EB93C0" w14:textId="77777777" w:rsidR="00432C04" w:rsidRDefault="00432C04" w:rsidP="00432C04">
      <w:pPr>
        <w:pStyle w:val="TH"/>
        <w:rPr>
          <w:lang w:eastAsia="en-US"/>
        </w:rPr>
      </w:pPr>
      <w:r>
        <w:rPr>
          <w:lang w:eastAsia="en-US"/>
        </w:rPr>
        <w:object w:dxaOrig="9590" w:dyaOrig="5110" w14:anchorId="4D0C1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55.9pt" o:ole="">
            <v:imagedata r:id="rId11" o:title=""/>
          </v:shape>
          <o:OLEObject Type="Embed" ProgID="Word.Picture.8" ShapeID="_x0000_i1025" DrawAspect="Content" ObjectID="_1627515258" r:id="rId12"/>
        </w:object>
      </w:r>
    </w:p>
    <w:p w14:paraId="3C901174" w14:textId="77777777" w:rsidR="00432C04" w:rsidRDefault="00432C04" w:rsidP="00432C04">
      <w:pPr>
        <w:pStyle w:val="TF"/>
      </w:pPr>
      <w:r>
        <w:t>Figure 4.4.8.2-1: System architecture view with 5GS appearing as TSN bridge</w:t>
      </w:r>
    </w:p>
    <w:p w14:paraId="6FF16FA0" w14:textId="77777777" w:rsidR="00BC0876" w:rsidRPr="0045645E" w:rsidRDefault="00BC0876" w:rsidP="0045645E">
      <w:pPr>
        <w:keepNext/>
        <w:keepLines/>
        <w:overflowPunct/>
        <w:autoSpaceDE/>
        <w:autoSpaceDN/>
        <w:adjustRightInd/>
        <w:spacing w:before="120"/>
        <w:textAlignment w:val="auto"/>
        <w:outlineLvl w:val="2"/>
        <w:rPr>
          <w:rFonts w:ascii="Arial" w:hAnsi="Arial"/>
          <w:i/>
          <w:sz w:val="28"/>
          <w:lang w:eastAsia="en-US"/>
        </w:rPr>
      </w:pPr>
      <w:bookmarkStart w:id="30" w:name="_Toc11137128"/>
      <w:r w:rsidRPr="0045645E">
        <w:rPr>
          <w:rFonts w:ascii="Arial" w:hAnsi="Arial"/>
          <w:i/>
          <w:sz w:val="28"/>
          <w:lang w:eastAsia="en-US"/>
        </w:rPr>
        <w:t>5.27.1</w:t>
      </w:r>
      <w:r w:rsidRPr="0045645E">
        <w:rPr>
          <w:rFonts w:ascii="Arial" w:hAnsi="Arial"/>
          <w:i/>
          <w:sz w:val="28"/>
          <w:lang w:eastAsia="en-US"/>
        </w:rPr>
        <w:tab/>
        <w:t>TSN Time Synchronization</w:t>
      </w:r>
      <w:bookmarkEnd w:id="30"/>
    </w:p>
    <w:p w14:paraId="1C54428A" w14:textId="77777777" w:rsidR="00BC0876" w:rsidRPr="0045645E" w:rsidRDefault="00BC0876" w:rsidP="0045645E">
      <w:pPr>
        <w:keepNext/>
        <w:keepLines/>
        <w:overflowPunct/>
        <w:autoSpaceDE/>
        <w:autoSpaceDN/>
        <w:adjustRightInd/>
        <w:spacing w:before="120"/>
        <w:textAlignment w:val="auto"/>
        <w:outlineLvl w:val="3"/>
        <w:rPr>
          <w:i/>
          <w:lang w:eastAsia="x-none"/>
        </w:rPr>
      </w:pPr>
      <w:bookmarkStart w:id="31" w:name="_Toc11137129"/>
      <w:r w:rsidRPr="0045645E">
        <w:rPr>
          <w:rFonts w:ascii="Arial" w:hAnsi="Arial"/>
          <w:i/>
          <w:sz w:val="24"/>
          <w:lang w:eastAsia="x-none"/>
        </w:rPr>
        <w:t>5.27.1.1</w:t>
      </w:r>
      <w:r w:rsidRPr="0045645E">
        <w:rPr>
          <w:rFonts w:ascii="Arial" w:hAnsi="Arial"/>
          <w:i/>
          <w:sz w:val="24"/>
          <w:lang w:eastAsia="x-none"/>
        </w:rPr>
        <w:tab/>
        <w:t>General</w:t>
      </w:r>
      <w:bookmarkEnd w:id="31"/>
    </w:p>
    <w:p w14:paraId="678973E2" w14:textId="77777777" w:rsidR="00BC0876" w:rsidRPr="0045645E" w:rsidRDefault="00BC0876" w:rsidP="0045645E">
      <w:pPr>
        <w:overflowPunct/>
        <w:autoSpaceDE/>
        <w:autoSpaceDN/>
        <w:adjustRightInd/>
        <w:textAlignment w:val="auto"/>
        <w:rPr>
          <w:i/>
          <w:lang w:eastAsia="x-none"/>
        </w:rPr>
      </w:pPr>
      <w:r w:rsidRPr="0045645E">
        <w:rPr>
          <w:i/>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sidRPr="0045645E">
        <w:rPr>
          <w:i/>
          <w:lang w:eastAsia="x-none"/>
        </w:rPr>
        <w:t>gNB</w:t>
      </w:r>
      <w:proofErr w:type="spellEnd"/>
      <w:r w:rsidRPr="0045645E">
        <w:rPr>
          <w:i/>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w:t>
      </w:r>
      <w:proofErr w:type="spellStart"/>
      <w:r w:rsidRPr="0045645E">
        <w:rPr>
          <w:i/>
          <w:lang w:eastAsia="x-none"/>
        </w:rPr>
        <w:t>rateRatio</w:t>
      </w:r>
      <w:proofErr w:type="spellEnd"/>
      <w:r w:rsidRPr="0045645E">
        <w:rPr>
          <w:i/>
          <w:lang w:eastAsia="x-none"/>
        </w:rPr>
        <w:t>. Figure 5.27.1-1 illustrates the 5G and TSN clock distribution model via 5GS.</w:t>
      </w:r>
    </w:p>
    <w:p w14:paraId="0191AB25" w14:textId="77777777" w:rsidR="00700921" w:rsidRPr="0045645E" w:rsidRDefault="00700921" w:rsidP="0045645E">
      <w:pPr>
        <w:overflowPunct/>
        <w:autoSpaceDE/>
        <w:autoSpaceDN/>
        <w:adjustRightInd/>
        <w:textAlignment w:val="auto"/>
        <w:rPr>
          <w:i/>
          <w:lang w:eastAsia="x-none"/>
        </w:rPr>
      </w:pPr>
    </w:p>
    <w:p w14:paraId="2FF42A12" w14:textId="77777777" w:rsidR="00F13F66" w:rsidRPr="0045645E" w:rsidRDefault="00F13F66" w:rsidP="0045645E">
      <w:pPr>
        <w:pStyle w:val="BodyText"/>
      </w:pPr>
    </w:p>
    <w:p w14:paraId="58412560" w14:textId="77777777" w:rsidR="00A21910" w:rsidRDefault="00A21910">
      <w:pPr>
        <w:pStyle w:val="TH"/>
        <w:rPr>
          <w:lang w:eastAsia="en-US"/>
        </w:rPr>
      </w:pPr>
      <w:r>
        <w:rPr>
          <w:lang w:eastAsia="en-US"/>
        </w:rPr>
        <w:object w:dxaOrig="9630" w:dyaOrig="3250" w14:anchorId="0A757CCB">
          <v:shape id="_x0000_i1026" type="#_x0000_t75" style="width:481.3pt;height:162.3pt" o:ole="">
            <v:imagedata r:id="rId13" o:title=""/>
          </v:shape>
          <o:OLEObject Type="Embed" ProgID="Visio.Drawing.15" ShapeID="_x0000_i1026" DrawAspect="Content" ObjectID="_1627515259" r:id="rId14"/>
        </w:object>
      </w:r>
    </w:p>
    <w:p w14:paraId="5643C577" w14:textId="77777777" w:rsidR="00A21910" w:rsidRDefault="00A21910">
      <w:pPr>
        <w:pStyle w:val="TF"/>
      </w:pPr>
      <w:r>
        <w:t>Figure 5.27.1-1: 5G system is modelled as IEEE 802.1AS compliant time aware system for supporting TSN time synchronization</w:t>
      </w:r>
    </w:p>
    <w:p w14:paraId="65E1C52B" w14:textId="42E7C244" w:rsidR="00C91EE5" w:rsidRPr="00901CF5" w:rsidRDefault="00C91EE5">
      <w:pPr>
        <w:pStyle w:val="BodyText"/>
        <w:rPr>
          <w:lang w:val="en-US"/>
        </w:rPr>
      </w:pPr>
    </w:p>
    <w:sectPr w:rsidR="00C91EE5" w:rsidRPr="00901CF5" w:rsidSect="00D14E67">
      <w:headerReference w:type="even" r:id="rId15"/>
      <w:footerReference w:type="default" r:id="rId16"/>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6E433" w14:textId="77777777" w:rsidR="00AA3D81" w:rsidRDefault="00AA3D81">
      <w:r>
        <w:separator/>
      </w:r>
    </w:p>
  </w:endnote>
  <w:endnote w:type="continuationSeparator" w:id="0">
    <w:p w14:paraId="0788852B" w14:textId="77777777" w:rsidR="00AA3D81" w:rsidRDefault="00AA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0BDE1" w14:textId="77777777" w:rsidR="00AA3D81" w:rsidRDefault="00AA3D81">
      <w:r>
        <w:separator/>
      </w:r>
    </w:p>
  </w:footnote>
  <w:footnote w:type="continuationSeparator" w:id="0">
    <w:p w14:paraId="079E1077" w14:textId="77777777" w:rsidR="00AA3D81" w:rsidRDefault="00AA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697CD1"/>
    <w:multiLevelType w:val="hybridMultilevel"/>
    <w:tmpl w:val="52ACE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6E55B5"/>
    <w:multiLevelType w:val="hybridMultilevel"/>
    <w:tmpl w:val="72E41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E50F9E"/>
    <w:multiLevelType w:val="hybridMultilevel"/>
    <w:tmpl w:val="A692B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FFB4225"/>
    <w:multiLevelType w:val="hybridMultilevel"/>
    <w:tmpl w:val="7EFE6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7A47"/>
    <w:multiLevelType w:val="hybridMultilevel"/>
    <w:tmpl w:val="829AB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61467"/>
    <w:multiLevelType w:val="hybridMultilevel"/>
    <w:tmpl w:val="CFF8E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73595"/>
    <w:multiLevelType w:val="hybridMultilevel"/>
    <w:tmpl w:val="9CD64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EF2F2E"/>
    <w:multiLevelType w:val="hybridMultilevel"/>
    <w:tmpl w:val="631466DC"/>
    <w:lvl w:ilvl="0" w:tplc="2E4ED002">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600F2F"/>
    <w:multiLevelType w:val="hybridMultilevel"/>
    <w:tmpl w:val="9AF2DB28"/>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B5374A"/>
    <w:multiLevelType w:val="hybridMultilevel"/>
    <w:tmpl w:val="5920B200"/>
    <w:lvl w:ilvl="0" w:tplc="D5DABD36">
      <w:numFmt w:val="bullet"/>
      <w:lvlText w:val=""/>
      <w:lvlJc w:val="left"/>
      <w:pPr>
        <w:ind w:left="720" w:hanging="360"/>
      </w:pPr>
      <w:rPr>
        <w:rFonts w:ascii="Symbol" w:eastAsia="DengXia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4"/>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6"/>
  </w:num>
  <w:num w:numId="16">
    <w:abstractNumId w:val="27"/>
  </w:num>
  <w:num w:numId="17">
    <w:abstractNumId w:val="6"/>
  </w:num>
  <w:num w:numId="18">
    <w:abstractNumId w:val="8"/>
  </w:num>
  <w:num w:numId="19">
    <w:abstractNumId w:val="5"/>
  </w:num>
  <w:num w:numId="20">
    <w:abstractNumId w:val="31"/>
  </w:num>
  <w:num w:numId="21">
    <w:abstractNumId w:val="12"/>
  </w:num>
  <w:num w:numId="22">
    <w:abstractNumId w:val="29"/>
  </w:num>
  <w:num w:numId="23">
    <w:abstractNumId w:val="18"/>
  </w:num>
  <w:num w:numId="24">
    <w:abstractNumId w:val="18"/>
  </w:num>
  <w:num w:numId="25">
    <w:abstractNumId w:val="32"/>
  </w:num>
  <w:num w:numId="26">
    <w:abstractNumId w:val="30"/>
  </w:num>
  <w:num w:numId="27">
    <w:abstractNumId w:val="30"/>
  </w:num>
  <w:num w:numId="28">
    <w:abstractNumId w:val="20"/>
  </w:num>
  <w:num w:numId="29">
    <w:abstractNumId w:val="22"/>
  </w:num>
  <w:num w:numId="30">
    <w:abstractNumId w:val="30"/>
  </w:num>
  <w:num w:numId="31">
    <w:abstractNumId w:val="7"/>
  </w:num>
  <w:num w:numId="32">
    <w:abstractNumId w:val="13"/>
  </w:num>
  <w:num w:numId="33">
    <w:abstractNumId w:val="4"/>
  </w:num>
  <w:num w:numId="34">
    <w:abstractNumId w:val="13"/>
  </w:num>
  <w:num w:numId="35">
    <w:abstractNumId w:val="18"/>
  </w:num>
  <w:num w:numId="36">
    <w:abstractNumId w:val="15"/>
  </w:num>
  <w:num w:numId="37">
    <w:abstractNumId w:val="28"/>
  </w:num>
  <w:num w:numId="38">
    <w:abstractNumId w:val="17"/>
  </w:num>
  <w:num w:numId="39">
    <w:abstractNumId w:val="26"/>
  </w:num>
  <w:num w:numId="40">
    <w:abstractNumId w:val="18"/>
  </w:num>
  <w:num w:numId="41">
    <w:abstractNumId w:val="18"/>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078C"/>
    <w:rsid w:val="00024272"/>
    <w:rsid w:val="00025639"/>
    <w:rsid w:val="0002564D"/>
    <w:rsid w:val="00025ECA"/>
    <w:rsid w:val="00030105"/>
    <w:rsid w:val="00030E49"/>
    <w:rsid w:val="000325B8"/>
    <w:rsid w:val="0003333A"/>
    <w:rsid w:val="00034C15"/>
    <w:rsid w:val="00036BA1"/>
    <w:rsid w:val="000422E2"/>
    <w:rsid w:val="00042F22"/>
    <w:rsid w:val="000444EF"/>
    <w:rsid w:val="00045DE6"/>
    <w:rsid w:val="0005078F"/>
    <w:rsid w:val="00052A07"/>
    <w:rsid w:val="000534E3"/>
    <w:rsid w:val="000548BF"/>
    <w:rsid w:val="0005606A"/>
    <w:rsid w:val="00057117"/>
    <w:rsid w:val="000609CE"/>
    <w:rsid w:val="000616E7"/>
    <w:rsid w:val="00063FC9"/>
    <w:rsid w:val="0006487E"/>
    <w:rsid w:val="00065E1A"/>
    <w:rsid w:val="000660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B14"/>
    <w:rsid w:val="000B3A8F"/>
    <w:rsid w:val="000B4AB9"/>
    <w:rsid w:val="000B58C3"/>
    <w:rsid w:val="000B61E9"/>
    <w:rsid w:val="000C165A"/>
    <w:rsid w:val="000C2E19"/>
    <w:rsid w:val="000C76D0"/>
    <w:rsid w:val="000D0D07"/>
    <w:rsid w:val="000D1BA5"/>
    <w:rsid w:val="000D4797"/>
    <w:rsid w:val="000E0527"/>
    <w:rsid w:val="000E1E92"/>
    <w:rsid w:val="000E70E4"/>
    <w:rsid w:val="000F06D6"/>
    <w:rsid w:val="000F0EB1"/>
    <w:rsid w:val="000F1106"/>
    <w:rsid w:val="000F2BD6"/>
    <w:rsid w:val="000F330D"/>
    <w:rsid w:val="000F3BE9"/>
    <w:rsid w:val="000F3F6C"/>
    <w:rsid w:val="000F6DF3"/>
    <w:rsid w:val="001005FF"/>
    <w:rsid w:val="00100643"/>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825"/>
    <w:rsid w:val="00137AB5"/>
    <w:rsid w:val="00137F0B"/>
    <w:rsid w:val="00146D73"/>
    <w:rsid w:val="00151E23"/>
    <w:rsid w:val="001526E0"/>
    <w:rsid w:val="00152C7B"/>
    <w:rsid w:val="001543DE"/>
    <w:rsid w:val="001551B5"/>
    <w:rsid w:val="0015765E"/>
    <w:rsid w:val="00163677"/>
    <w:rsid w:val="001659C1"/>
    <w:rsid w:val="001706E6"/>
    <w:rsid w:val="00173A8E"/>
    <w:rsid w:val="0017502C"/>
    <w:rsid w:val="0018143F"/>
    <w:rsid w:val="00181ADB"/>
    <w:rsid w:val="00181FF8"/>
    <w:rsid w:val="00190AC1"/>
    <w:rsid w:val="00191DF6"/>
    <w:rsid w:val="0019341A"/>
    <w:rsid w:val="00194DDB"/>
    <w:rsid w:val="00197DF9"/>
    <w:rsid w:val="001A1987"/>
    <w:rsid w:val="001A2564"/>
    <w:rsid w:val="001A6173"/>
    <w:rsid w:val="001A6CBA"/>
    <w:rsid w:val="001A703E"/>
    <w:rsid w:val="001B0D97"/>
    <w:rsid w:val="001B5A5D"/>
    <w:rsid w:val="001C1CE5"/>
    <w:rsid w:val="001C3D2A"/>
    <w:rsid w:val="001C6AE8"/>
    <w:rsid w:val="001D4064"/>
    <w:rsid w:val="001D51BA"/>
    <w:rsid w:val="001D53E7"/>
    <w:rsid w:val="001D6342"/>
    <w:rsid w:val="001D6D53"/>
    <w:rsid w:val="001E58E2"/>
    <w:rsid w:val="001E7AED"/>
    <w:rsid w:val="001F3916"/>
    <w:rsid w:val="001F3F4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24"/>
    <w:rsid w:val="002319E4"/>
    <w:rsid w:val="002340D0"/>
    <w:rsid w:val="00234155"/>
    <w:rsid w:val="00235632"/>
    <w:rsid w:val="00235872"/>
    <w:rsid w:val="00241559"/>
    <w:rsid w:val="002435B3"/>
    <w:rsid w:val="002458EB"/>
    <w:rsid w:val="002478CC"/>
    <w:rsid w:val="002500C8"/>
    <w:rsid w:val="00251722"/>
    <w:rsid w:val="002550D1"/>
    <w:rsid w:val="00257543"/>
    <w:rsid w:val="00257A68"/>
    <w:rsid w:val="002617E7"/>
    <w:rsid w:val="00262E91"/>
    <w:rsid w:val="00264228"/>
    <w:rsid w:val="00264334"/>
    <w:rsid w:val="0026473E"/>
    <w:rsid w:val="00264FB7"/>
    <w:rsid w:val="00266214"/>
    <w:rsid w:val="00267C83"/>
    <w:rsid w:val="0027144F"/>
    <w:rsid w:val="00271813"/>
    <w:rsid w:val="00271F3A"/>
    <w:rsid w:val="00273278"/>
    <w:rsid w:val="002737F4"/>
    <w:rsid w:val="002805F5"/>
    <w:rsid w:val="00280751"/>
    <w:rsid w:val="0028280A"/>
    <w:rsid w:val="00286ACD"/>
    <w:rsid w:val="00287838"/>
    <w:rsid w:val="002907B5"/>
    <w:rsid w:val="00291852"/>
    <w:rsid w:val="00292EB7"/>
    <w:rsid w:val="00293A16"/>
    <w:rsid w:val="00296227"/>
    <w:rsid w:val="00296F44"/>
    <w:rsid w:val="0029777D"/>
    <w:rsid w:val="002A055E"/>
    <w:rsid w:val="002A1D4E"/>
    <w:rsid w:val="002A2869"/>
    <w:rsid w:val="002A3DBE"/>
    <w:rsid w:val="002B1818"/>
    <w:rsid w:val="002B24D6"/>
    <w:rsid w:val="002C0696"/>
    <w:rsid w:val="002C41E6"/>
    <w:rsid w:val="002C4578"/>
    <w:rsid w:val="002D071A"/>
    <w:rsid w:val="002D1E99"/>
    <w:rsid w:val="002D34B2"/>
    <w:rsid w:val="002D48B0"/>
    <w:rsid w:val="002D5B37"/>
    <w:rsid w:val="002D7637"/>
    <w:rsid w:val="002D7F90"/>
    <w:rsid w:val="002E17F2"/>
    <w:rsid w:val="002E4065"/>
    <w:rsid w:val="002E6CFA"/>
    <w:rsid w:val="002E7B47"/>
    <w:rsid w:val="002E7CAE"/>
    <w:rsid w:val="002F0A16"/>
    <w:rsid w:val="002F1BDA"/>
    <w:rsid w:val="002F1D21"/>
    <w:rsid w:val="002F2771"/>
    <w:rsid w:val="002F37A9"/>
    <w:rsid w:val="002F5E60"/>
    <w:rsid w:val="00301C98"/>
    <w:rsid w:val="00301CE6"/>
    <w:rsid w:val="0030256B"/>
    <w:rsid w:val="0030501F"/>
    <w:rsid w:val="00307BA1"/>
    <w:rsid w:val="00311702"/>
    <w:rsid w:val="00311E82"/>
    <w:rsid w:val="00313FD6"/>
    <w:rsid w:val="003143BD"/>
    <w:rsid w:val="003151BF"/>
    <w:rsid w:val="00315363"/>
    <w:rsid w:val="003203ED"/>
    <w:rsid w:val="00321367"/>
    <w:rsid w:val="00321B29"/>
    <w:rsid w:val="00322C9F"/>
    <w:rsid w:val="00324D23"/>
    <w:rsid w:val="00327C58"/>
    <w:rsid w:val="00331751"/>
    <w:rsid w:val="00334579"/>
    <w:rsid w:val="00334A2A"/>
    <w:rsid w:val="00335858"/>
    <w:rsid w:val="00336BDA"/>
    <w:rsid w:val="00340216"/>
    <w:rsid w:val="00342BD7"/>
    <w:rsid w:val="00346061"/>
    <w:rsid w:val="00346DB5"/>
    <w:rsid w:val="003477B1"/>
    <w:rsid w:val="00350781"/>
    <w:rsid w:val="003509F7"/>
    <w:rsid w:val="00357380"/>
    <w:rsid w:val="003602D9"/>
    <w:rsid w:val="003604CE"/>
    <w:rsid w:val="00370E47"/>
    <w:rsid w:val="003742AC"/>
    <w:rsid w:val="00374363"/>
    <w:rsid w:val="00377CE1"/>
    <w:rsid w:val="00381106"/>
    <w:rsid w:val="00385BF0"/>
    <w:rsid w:val="003939FF"/>
    <w:rsid w:val="00394F03"/>
    <w:rsid w:val="003960F0"/>
    <w:rsid w:val="003A2223"/>
    <w:rsid w:val="003A2244"/>
    <w:rsid w:val="003A2A0F"/>
    <w:rsid w:val="003A45A1"/>
    <w:rsid w:val="003A48A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830"/>
    <w:rsid w:val="003D5B1F"/>
    <w:rsid w:val="003E15FA"/>
    <w:rsid w:val="003E55E4"/>
    <w:rsid w:val="003E74E3"/>
    <w:rsid w:val="003E7CD2"/>
    <w:rsid w:val="003F05C7"/>
    <w:rsid w:val="003F2CD4"/>
    <w:rsid w:val="003F6BBE"/>
    <w:rsid w:val="004000E8"/>
    <w:rsid w:val="004001E6"/>
    <w:rsid w:val="00402E2B"/>
    <w:rsid w:val="00403EA9"/>
    <w:rsid w:val="0040512B"/>
    <w:rsid w:val="00405CA5"/>
    <w:rsid w:val="00407CD3"/>
    <w:rsid w:val="00410134"/>
    <w:rsid w:val="00410B72"/>
    <w:rsid w:val="00410F18"/>
    <w:rsid w:val="0041263E"/>
    <w:rsid w:val="00413AAC"/>
    <w:rsid w:val="00413E35"/>
    <w:rsid w:val="00413E92"/>
    <w:rsid w:val="00416553"/>
    <w:rsid w:val="00417A5D"/>
    <w:rsid w:val="00421105"/>
    <w:rsid w:val="00422362"/>
    <w:rsid w:val="00422AA4"/>
    <w:rsid w:val="004242F4"/>
    <w:rsid w:val="00424765"/>
    <w:rsid w:val="004269FE"/>
    <w:rsid w:val="00427248"/>
    <w:rsid w:val="004274AB"/>
    <w:rsid w:val="00432C04"/>
    <w:rsid w:val="00437447"/>
    <w:rsid w:val="004409FF"/>
    <w:rsid w:val="00441A92"/>
    <w:rsid w:val="004431DC"/>
    <w:rsid w:val="00444F56"/>
    <w:rsid w:val="00446488"/>
    <w:rsid w:val="004517AA"/>
    <w:rsid w:val="00452CAC"/>
    <w:rsid w:val="0045645E"/>
    <w:rsid w:val="00457565"/>
    <w:rsid w:val="00457B71"/>
    <w:rsid w:val="004669E2"/>
    <w:rsid w:val="00470C31"/>
    <w:rsid w:val="00471843"/>
    <w:rsid w:val="00471DE0"/>
    <w:rsid w:val="004734D0"/>
    <w:rsid w:val="0047556B"/>
    <w:rsid w:val="00477768"/>
    <w:rsid w:val="004834CC"/>
    <w:rsid w:val="00485D09"/>
    <w:rsid w:val="0049023D"/>
    <w:rsid w:val="00492BC5"/>
    <w:rsid w:val="00494915"/>
    <w:rsid w:val="004964F1"/>
    <w:rsid w:val="004A16BC"/>
    <w:rsid w:val="004A1C89"/>
    <w:rsid w:val="004A2B94"/>
    <w:rsid w:val="004A5C9A"/>
    <w:rsid w:val="004B6F6A"/>
    <w:rsid w:val="004B7C0C"/>
    <w:rsid w:val="004C3898"/>
    <w:rsid w:val="004C41CE"/>
    <w:rsid w:val="004D36B1"/>
    <w:rsid w:val="004D57D6"/>
    <w:rsid w:val="004D7EBD"/>
    <w:rsid w:val="004E2680"/>
    <w:rsid w:val="004E28F9"/>
    <w:rsid w:val="004E2D43"/>
    <w:rsid w:val="004E2F66"/>
    <w:rsid w:val="004E462E"/>
    <w:rsid w:val="004E56DC"/>
    <w:rsid w:val="004E76F4"/>
    <w:rsid w:val="004F0B4E"/>
    <w:rsid w:val="004F0B6C"/>
    <w:rsid w:val="004F2078"/>
    <w:rsid w:val="004F4DA3"/>
    <w:rsid w:val="005064F9"/>
    <w:rsid w:val="00506557"/>
    <w:rsid w:val="0050677A"/>
    <w:rsid w:val="005108D8"/>
    <w:rsid w:val="005116F9"/>
    <w:rsid w:val="005153A7"/>
    <w:rsid w:val="005219CF"/>
    <w:rsid w:val="005267E9"/>
    <w:rsid w:val="00534B59"/>
    <w:rsid w:val="00536663"/>
    <w:rsid w:val="00536759"/>
    <w:rsid w:val="00536AEC"/>
    <w:rsid w:val="00537C62"/>
    <w:rsid w:val="005415BD"/>
    <w:rsid w:val="00545B63"/>
    <w:rsid w:val="00546970"/>
    <w:rsid w:val="005477A3"/>
    <w:rsid w:val="00553E40"/>
    <w:rsid w:val="00554E19"/>
    <w:rsid w:val="00555A02"/>
    <w:rsid w:val="0056121F"/>
    <w:rsid w:val="00562229"/>
    <w:rsid w:val="00563FAE"/>
    <w:rsid w:val="00572505"/>
    <w:rsid w:val="00575E41"/>
    <w:rsid w:val="0057608E"/>
    <w:rsid w:val="0057765A"/>
    <w:rsid w:val="00581960"/>
    <w:rsid w:val="00582809"/>
    <w:rsid w:val="00585C0B"/>
    <w:rsid w:val="0058798C"/>
    <w:rsid w:val="005900FA"/>
    <w:rsid w:val="005935A4"/>
    <w:rsid w:val="005948C2"/>
    <w:rsid w:val="00595DCA"/>
    <w:rsid w:val="0059779B"/>
    <w:rsid w:val="005A01E4"/>
    <w:rsid w:val="005A209A"/>
    <w:rsid w:val="005A662D"/>
    <w:rsid w:val="005B1409"/>
    <w:rsid w:val="005B1527"/>
    <w:rsid w:val="005B35D7"/>
    <w:rsid w:val="005B392A"/>
    <w:rsid w:val="005B3AA3"/>
    <w:rsid w:val="005B6F83"/>
    <w:rsid w:val="005B7576"/>
    <w:rsid w:val="005C4FFF"/>
    <w:rsid w:val="005C74FB"/>
    <w:rsid w:val="005C76B1"/>
    <w:rsid w:val="005D1602"/>
    <w:rsid w:val="005E246E"/>
    <w:rsid w:val="005E385F"/>
    <w:rsid w:val="005E5B81"/>
    <w:rsid w:val="005E5DA8"/>
    <w:rsid w:val="005F2CB1"/>
    <w:rsid w:val="005F3025"/>
    <w:rsid w:val="005F618C"/>
    <w:rsid w:val="005F6BB1"/>
    <w:rsid w:val="005F70BD"/>
    <w:rsid w:val="0060283C"/>
    <w:rsid w:val="00604F14"/>
    <w:rsid w:val="006072DB"/>
    <w:rsid w:val="0061169F"/>
    <w:rsid w:val="00611B83"/>
    <w:rsid w:val="00613257"/>
    <w:rsid w:val="00617A44"/>
    <w:rsid w:val="00620A71"/>
    <w:rsid w:val="00620D80"/>
    <w:rsid w:val="006234A6"/>
    <w:rsid w:val="00630001"/>
    <w:rsid w:val="006311B3"/>
    <w:rsid w:val="0063284C"/>
    <w:rsid w:val="006334B2"/>
    <w:rsid w:val="00636398"/>
    <w:rsid w:val="006368D3"/>
    <w:rsid w:val="006377EC"/>
    <w:rsid w:val="0064151F"/>
    <w:rsid w:val="00641533"/>
    <w:rsid w:val="0064208D"/>
    <w:rsid w:val="00643475"/>
    <w:rsid w:val="0064396A"/>
    <w:rsid w:val="0064624E"/>
    <w:rsid w:val="006464D0"/>
    <w:rsid w:val="00647259"/>
    <w:rsid w:val="00650AB9"/>
    <w:rsid w:val="0065453C"/>
    <w:rsid w:val="00654CEB"/>
    <w:rsid w:val="00655733"/>
    <w:rsid w:val="00655ACD"/>
    <w:rsid w:val="00656A92"/>
    <w:rsid w:val="00656DDE"/>
    <w:rsid w:val="0066011D"/>
    <w:rsid w:val="006607C0"/>
    <w:rsid w:val="006609E3"/>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057"/>
    <w:rsid w:val="006817C9"/>
    <w:rsid w:val="00683ECE"/>
    <w:rsid w:val="00685FB1"/>
    <w:rsid w:val="00686E22"/>
    <w:rsid w:val="00690DB1"/>
    <w:rsid w:val="00695D68"/>
    <w:rsid w:val="00695FC2"/>
    <w:rsid w:val="00696949"/>
    <w:rsid w:val="00697052"/>
    <w:rsid w:val="006A41DD"/>
    <w:rsid w:val="006A46FB"/>
    <w:rsid w:val="006A5E28"/>
    <w:rsid w:val="006A697B"/>
    <w:rsid w:val="006A7AFF"/>
    <w:rsid w:val="006B1816"/>
    <w:rsid w:val="006B2099"/>
    <w:rsid w:val="006B50CF"/>
    <w:rsid w:val="006B5D1C"/>
    <w:rsid w:val="006C03B8"/>
    <w:rsid w:val="006C5EC9"/>
    <w:rsid w:val="006C6059"/>
    <w:rsid w:val="006C615F"/>
    <w:rsid w:val="006C68E7"/>
    <w:rsid w:val="006C7522"/>
    <w:rsid w:val="006D6F08"/>
    <w:rsid w:val="006E062C"/>
    <w:rsid w:val="006E1C82"/>
    <w:rsid w:val="006E210C"/>
    <w:rsid w:val="006E28B7"/>
    <w:rsid w:val="006E2A9B"/>
    <w:rsid w:val="006E3310"/>
    <w:rsid w:val="006E4E39"/>
    <w:rsid w:val="006E565E"/>
    <w:rsid w:val="006E5761"/>
    <w:rsid w:val="006E673D"/>
    <w:rsid w:val="006E7D3B"/>
    <w:rsid w:val="006F030C"/>
    <w:rsid w:val="006F1B70"/>
    <w:rsid w:val="006F341D"/>
    <w:rsid w:val="006F3CDE"/>
    <w:rsid w:val="006F3FCF"/>
    <w:rsid w:val="006F45EA"/>
    <w:rsid w:val="006F58D4"/>
    <w:rsid w:val="006F6582"/>
    <w:rsid w:val="00700921"/>
    <w:rsid w:val="0070136A"/>
    <w:rsid w:val="0070346E"/>
    <w:rsid w:val="00704EDB"/>
    <w:rsid w:val="00706101"/>
    <w:rsid w:val="00707072"/>
    <w:rsid w:val="00707D61"/>
    <w:rsid w:val="00712287"/>
    <w:rsid w:val="00712772"/>
    <w:rsid w:val="007148D3"/>
    <w:rsid w:val="00715B9A"/>
    <w:rsid w:val="007178D6"/>
    <w:rsid w:val="00721C72"/>
    <w:rsid w:val="007240AB"/>
    <w:rsid w:val="007257D0"/>
    <w:rsid w:val="00726EA6"/>
    <w:rsid w:val="00727208"/>
    <w:rsid w:val="00727680"/>
    <w:rsid w:val="0073123D"/>
    <w:rsid w:val="007348B1"/>
    <w:rsid w:val="007362A6"/>
    <w:rsid w:val="00736C7F"/>
    <w:rsid w:val="00736D7D"/>
    <w:rsid w:val="00740E58"/>
    <w:rsid w:val="00741FD8"/>
    <w:rsid w:val="00743B62"/>
    <w:rsid w:val="007445A0"/>
    <w:rsid w:val="0074524B"/>
    <w:rsid w:val="00747D8B"/>
    <w:rsid w:val="00751228"/>
    <w:rsid w:val="007555CF"/>
    <w:rsid w:val="007571E1"/>
    <w:rsid w:val="007604B2"/>
    <w:rsid w:val="00765281"/>
    <w:rsid w:val="00766BAD"/>
    <w:rsid w:val="007726B3"/>
    <w:rsid w:val="007729A2"/>
    <w:rsid w:val="007748FA"/>
    <w:rsid w:val="007755F2"/>
    <w:rsid w:val="00776971"/>
    <w:rsid w:val="00780A80"/>
    <w:rsid w:val="00781611"/>
    <w:rsid w:val="0078177E"/>
    <w:rsid w:val="0078179D"/>
    <w:rsid w:val="0078304C"/>
    <w:rsid w:val="00783673"/>
    <w:rsid w:val="00784253"/>
    <w:rsid w:val="00785490"/>
    <w:rsid w:val="007925EA"/>
    <w:rsid w:val="00793CD8"/>
    <w:rsid w:val="00795C92"/>
    <w:rsid w:val="00796231"/>
    <w:rsid w:val="007A1CB3"/>
    <w:rsid w:val="007A306F"/>
    <w:rsid w:val="007A43A6"/>
    <w:rsid w:val="007A58A6"/>
    <w:rsid w:val="007A7C2A"/>
    <w:rsid w:val="007A7C6C"/>
    <w:rsid w:val="007B3D2D"/>
    <w:rsid w:val="007B50AE"/>
    <w:rsid w:val="007B51DF"/>
    <w:rsid w:val="007B668E"/>
    <w:rsid w:val="007C05DD"/>
    <w:rsid w:val="007C3D18"/>
    <w:rsid w:val="007C60BF"/>
    <w:rsid w:val="007C6A07"/>
    <w:rsid w:val="007C718A"/>
    <w:rsid w:val="007C75A1"/>
    <w:rsid w:val="007C77A5"/>
    <w:rsid w:val="007D04E5"/>
    <w:rsid w:val="007D265D"/>
    <w:rsid w:val="007D5901"/>
    <w:rsid w:val="007D7526"/>
    <w:rsid w:val="007E0BCD"/>
    <w:rsid w:val="007E4610"/>
    <w:rsid w:val="007E4715"/>
    <w:rsid w:val="007E505B"/>
    <w:rsid w:val="007E5F92"/>
    <w:rsid w:val="007E7091"/>
    <w:rsid w:val="007E7AAA"/>
    <w:rsid w:val="007F795D"/>
    <w:rsid w:val="00803FAE"/>
    <w:rsid w:val="0080605F"/>
    <w:rsid w:val="00807786"/>
    <w:rsid w:val="00811B08"/>
    <w:rsid w:val="00811B4F"/>
    <w:rsid w:val="00811FCB"/>
    <w:rsid w:val="00812CA7"/>
    <w:rsid w:val="008158D6"/>
    <w:rsid w:val="00817196"/>
    <w:rsid w:val="00821D8D"/>
    <w:rsid w:val="008235DB"/>
    <w:rsid w:val="00823EC1"/>
    <w:rsid w:val="00824439"/>
    <w:rsid w:val="00824AB4"/>
    <w:rsid w:val="00825C42"/>
    <w:rsid w:val="00825D25"/>
    <w:rsid w:val="008269CB"/>
    <w:rsid w:val="0082745B"/>
    <w:rsid w:val="00827D6F"/>
    <w:rsid w:val="008376AC"/>
    <w:rsid w:val="00840B41"/>
    <w:rsid w:val="00844384"/>
    <w:rsid w:val="008444E8"/>
    <w:rsid w:val="00844E80"/>
    <w:rsid w:val="00845D3A"/>
    <w:rsid w:val="00846FE7"/>
    <w:rsid w:val="0085690E"/>
    <w:rsid w:val="00856911"/>
    <w:rsid w:val="0086234E"/>
    <w:rsid w:val="0086311E"/>
    <w:rsid w:val="008677FD"/>
    <w:rsid w:val="008706D4"/>
    <w:rsid w:val="00870F8A"/>
    <w:rsid w:val="008719A4"/>
    <w:rsid w:val="00871D23"/>
    <w:rsid w:val="00874312"/>
    <w:rsid w:val="0087437C"/>
    <w:rsid w:val="00875CD7"/>
    <w:rsid w:val="00876B4D"/>
    <w:rsid w:val="00877F18"/>
    <w:rsid w:val="00886675"/>
    <w:rsid w:val="008941E3"/>
    <w:rsid w:val="00894A88"/>
    <w:rsid w:val="00895386"/>
    <w:rsid w:val="00895481"/>
    <w:rsid w:val="008A21FF"/>
    <w:rsid w:val="008A2965"/>
    <w:rsid w:val="008A2CE2"/>
    <w:rsid w:val="008A30AC"/>
    <w:rsid w:val="008A44B8"/>
    <w:rsid w:val="008A51A8"/>
    <w:rsid w:val="008A54C7"/>
    <w:rsid w:val="008A5906"/>
    <w:rsid w:val="008A77D8"/>
    <w:rsid w:val="008B0483"/>
    <w:rsid w:val="008B120C"/>
    <w:rsid w:val="008B51A0"/>
    <w:rsid w:val="008B592A"/>
    <w:rsid w:val="008B7B5C"/>
    <w:rsid w:val="008C0C99"/>
    <w:rsid w:val="008C13A6"/>
    <w:rsid w:val="008C2017"/>
    <w:rsid w:val="008C4958"/>
    <w:rsid w:val="008C4BAA"/>
    <w:rsid w:val="008C4F75"/>
    <w:rsid w:val="008C58A5"/>
    <w:rsid w:val="008C6AE8"/>
    <w:rsid w:val="008C7573"/>
    <w:rsid w:val="008D00A5"/>
    <w:rsid w:val="008D26DB"/>
    <w:rsid w:val="008D34F1"/>
    <w:rsid w:val="008D39D8"/>
    <w:rsid w:val="008D6D1A"/>
    <w:rsid w:val="008D6D57"/>
    <w:rsid w:val="008D7FF5"/>
    <w:rsid w:val="008E065E"/>
    <w:rsid w:val="008E0927"/>
    <w:rsid w:val="008E1909"/>
    <w:rsid w:val="008E7CCA"/>
    <w:rsid w:val="008F1C4E"/>
    <w:rsid w:val="008F1EAB"/>
    <w:rsid w:val="008F33DC"/>
    <w:rsid w:val="008F477F"/>
    <w:rsid w:val="008F63BC"/>
    <w:rsid w:val="00901CF5"/>
    <w:rsid w:val="00902350"/>
    <w:rsid w:val="0090336B"/>
    <w:rsid w:val="00903E92"/>
    <w:rsid w:val="009053AA"/>
    <w:rsid w:val="00906939"/>
    <w:rsid w:val="00907639"/>
    <w:rsid w:val="00910B7D"/>
    <w:rsid w:val="00911DFB"/>
    <w:rsid w:val="009139D9"/>
    <w:rsid w:val="00914AD8"/>
    <w:rsid w:val="00916079"/>
    <w:rsid w:val="00917CE9"/>
    <w:rsid w:val="00920BF2"/>
    <w:rsid w:val="00922010"/>
    <w:rsid w:val="009252FD"/>
    <w:rsid w:val="00930610"/>
    <w:rsid w:val="00931BD9"/>
    <w:rsid w:val="0093266A"/>
    <w:rsid w:val="009368F3"/>
    <w:rsid w:val="00940CE0"/>
    <w:rsid w:val="00941636"/>
    <w:rsid w:val="00941D2C"/>
    <w:rsid w:val="00943742"/>
    <w:rsid w:val="0094462B"/>
    <w:rsid w:val="00944B72"/>
    <w:rsid w:val="00945577"/>
    <w:rsid w:val="00945C05"/>
    <w:rsid w:val="00946945"/>
    <w:rsid w:val="00947713"/>
    <w:rsid w:val="00950DE7"/>
    <w:rsid w:val="00950F55"/>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3E7"/>
    <w:rsid w:val="00990630"/>
    <w:rsid w:val="00990F07"/>
    <w:rsid w:val="00991761"/>
    <w:rsid w:val="0099361E"/>
    <w:rsid w:val="00994DCA"/>
    <w:rsid w:val="009960EC"/>
    <w:rsid w:val="009970DD"/>
    <w:rsid w:val="009A0B1B"/>
    <w:rsid w:val="009A0FBA"/>
    <w:rsid w:val="009A1601"/>
    <w:rsid w:val="009A3BB6"/>
    <w:rsid w:val="009A462D"/>
    <w:rsid w:val="009A4DF8"/>
    <w:rsid w:val="009A5CBA"/>
    <w:rsid w:val="009A73F0"/>
    <w:rsid w:val="009B1F30"/>
    <w:rsid w:val="009B3AC2"/>
    <w:rsid w:val="009B4DF4"/>
    <w:rsid w:val="009B564E"/>
    <w:rsid w:val="009B7E87"/>
    <w:rsid w:val="009C0169"/>
    <w:rsid w:val="009C403E"/>
    <w:rsid w:val="009D3051"/>
    <w:rsid w:val="009D3D4B"/>
    <w:rsid w:val="009D4FF0"/>
    <w:rsid w:val="009D703C"/>
    <w:rsid w:val="009D718F"/>
    <w:rsid w:val="009D779E"/>
    <w:rsid w:val="009E068F"/>
    <w:rsid w:val="009E14E0"/>
    <w:rsid w:val="009E1BB6"/>
    <w:rsid w:val="009E22BC"/>
    <w:rsid w:val="009E35DB"/>
    <w:rsid w:val="009E47A3"/>
    <w:rsid w:val="009E5DB3"/>
    <w:rsid w:val="009E770A"/>
    <w:rsid w:val="009F08F3"/>
    <w:rsid w:val="009F344F"/>
    <w:rsid w:val="00A031D8"/>
    <w:rsid w:val="00A048A8"/>
    <w:rsid w:val="00A04F49"/>
    <w:rsid w:val="00A13E54"/>
    <w:rsid w:val="00A17F63"/>
    <w:rsid w:val="00A21910"/>
    <w:rsid w:val="00A2193B"/>
    <w:rsid w:val="00A2351A"/>
    <w:rsid w:val="00A264A9"/>
    <w:rsid w:val="00A26DCF"/>
    <w:rsid w:val="00A27785"/>
    <w:rsid w:val="00A30187"/>
    <w:rsid w:val="00A3448A"/>
    <w:rsid w:val="00A36297"/>
    <w:rsid w:val="00A41E2B"/>
    <w:rsid w:val="00A422A3"/>
    <w:rsid w:val="00A445B4"/>
    <w:rsid w:val="00A45B74"/>
    <w:rsid w:val="00A52E1D"/>
    <w:rsid w:val="00A531E4"/>
    <w:rsid w:val="00A61499"/>
    <w:rsid w:val="00A62629"/>
    <w:rsid w:val="00A62A77"/>
    <w:rsid w:val="00A63483"/>
    <w:rsid w:val="00A657D7"/>
    <w:rsid w:val="00A65C32"/>
    <w:rsid w:val="00A660AC"/>
    <w:rsid w:val="00A665CB"/>
    <w:rsid w:val="00A67E6C"/>
    <w:rsid w:val="00A71B99"/>
    <w:rsid w:val="00A739D0"/>
    <w:rsid w:val="00A7459D"/>
    <w:rsid w:val="00A761D4"/>
    <w:rsid w:val="00A77EC4"/>
    <w:rsid w:val="00A924F2"/>
    <w:rsid w:val="00A92879"/>
    <w:rsid w:val="00A9442A"/>
    <w:rsid w:val="00AA016F"/>
    <w:rsid w:val="00AA148B"/>
    <w:rsid w:val="00AA1ED6"/>
    <w:rsid w:val="00AA3D81"/>
    <w:rsid w:val="00AA3E91"/>
    <w:rsid w:val="00AA4E64"/>
    <w:rsid w:val="00AA51D6"/>
    <w:rsid w:val="00AA5C75"/>
    <w:rsid w:val="00AB0BC8"/>
    <w:rsid w:val="00AB11CA"/>
    <w:rsid w:val="00AB13EB"/>
    <w:rsid w:val="00AB14D9"/>
    <w:rsid w:val="00AB4AB8"/>
    <w:rsid w:val="00AB655E"/>
    <w:rsid w:val="00AB6ADF"/>
    <w:rsid w:val="00AC007F"/>
    <w:rsid w:val="00AC2E99"/>
    <w:rsid w:val="00AC2ECD"/>
    <w:rsid w:val="00AC3119"/>
    <w:rsid w:val="00AC49FB"/>
    <w:rsid w:val="00AC5A10"/>
    <w:rsid w:val="00AD0AA3"/>
    <w:rsid w:val="00AD2ED0"/>
    <w:rsid w:val="00AD3F94"/>
    <w:rsid w:val="00AD4A5A"/>
    <w:rsid w:val="00AE1CFC"/>
    <w:rsid w:val="00AE27AC"/>
    <w:rsid w:val="00AE3050"/>
    <w:rsid w:val="00AE40E0"/>
    <w:rsid w:val="00AE4DBA"/>
    <w:rsid w:val="00AE4F07"/>
    <w:rsid w:val="00AF1C5D"/>
    <w:rsid w:val="00AF2C58"/>
    <w:rsid w:val="00AF42D7"/>
    <w:rsid w:val="00B006FE"/>
    <w:rsid w:val="00B007CB"/>
    <w:rsid w:val="00B02AA9"/>
    <w:rsid w:val="00B02FA3"/>
    <w:rsid w:val="00B05084"/>
    <w:rsid w:val="00B0774D"/>
    <w:rsid w:val="00B07AF3"/>
    <w:rsid w:val="00B156BA"/>
    <w:rsid w:val="00B157F9"/>
    <w:rsid w:val="00B20256"/>
    <w:rsid w:val="00B20D09"/>
    <w:rsid w:val="00B21D66"/>
    <w:rsid w:val="00B2763F"/>
    <w:rsid w:val="00B27AAC"/>
    <w:rsid w:val="00B30929"/>
    <w:rsid w:val="00B35741"/>
    <w:rsid w:val="00B371DD"/>
    <w:rsid w:val="00B372AA"/>
    <w:rsid w:val="00B37406"/>
    <w:rsid w:val="00B40445"/>
    <w:rsid w:val="00B409E0"/>
    <w:rsid w:val="00B41706"/>
    <w:rsid w:val="00B41888"/>
    <w:rsid w:val="00B41AA7"/>
    <w:rsid w:val="00B41D34"/>
    <w:rsid w:val="00B4277B"/>
    <w:rsid w:val="00B42D2E"/>
    <w:rsid w:val="00B45A52"/>
    <w:rsid w:val="00B46175"/>
    <w:rsid w:val="00B472E3"/>
    <w:rsid w:val="00B51979"/>
    <w:rsid w:val="00B548B7"/>
    <w:rsid w:val="00B54D23"/>
    <w:rsid w:val="00B62D7E"/>
    <w:rsid w:val="00B62FDB"/>
    <w:rsid w:val="00B63E2F"/>
    <w:rsid w:val="00B664C7"/>
    <w:rsid w:val="00B66750"/>
    <w:rsid w:val="00B7176F"/>
    <w:rsid w:val="00B739F6"/>
    <w:rsid w:val="00B81A6C"/>
    <w:rsid w:val="00B836CE"/>
    <w:rsid w:val="00B85DE5"/>
    <w:rsid w:val="00B90F73"/>
    <w:rsid w:val="00B93B59"/>
    <w:rsid w:val="00B9406A"/>
    <w:rsid w:val="00BA2280"/>
    <w:rsid w:val="00BA2A08"/>
    <w:rsid w:val="00BA56D2"/>
    <w:rsid w:val="00BA76E0"/>
    <w:rsid w:val="00BB244F"/>
    <w:rsid w:val="00BB2A25"/>
    <w:rsid w:val="00BB51E9"/>
    <w:rsid w:val="00BB6BC3"/>
    <w:rsid w:val="00BC0876"/>
    <w:rsid w:val="00BC0FDC"/>
    <w:rsid w:val="00BC3053"/>
    <w:rsid w:val="00BC4D2E"/>
    <w:rsid w:val="00BC779C"/>
    <w:rsid w:val="00BD22CC"/>
    <w:rsid w:val="00BD48AC"/>
    <w:rsid w:val="00BD4BC7"/>
    <w:rsid w:val="00BD5F1A"/>
    <w:rsid w:val="00BE1234"/>
    <w:rsid w:val="00BE2FA6"/>
    <w:rsid w:val="00BE333F"/>
    <w:rsid w:val="00BE3ABF"/>
    <w:rsid w:val="00BE4358"/>
    <w:rsid w:val="00BE7406"/>
    <w:rsid w:val="00BE7603"/>
    <w:rsid w:val="00BE7E53"/>
    <w:rsid w:val="00BF3279"/>
    <w:rsid w:val="00BF74C7"/>
    <w:rsid w:val="00C01581"/>
    <w:rsid w:val="00C015F1"/>
    <w:rsid w:val="00C01F33"/>
    <w:rsid w:val="00C02CC6"/>
    <w:rsid w:val="00C040F7"/>
    <w:rsid w:val="00C044AB"/>
    <w:rsid w:val="00C05706"/>
    <w:rsid w:val="00C07377"/>
    <w:rsid w:val="00C10478"/>
    <w:rsid w:val="00C12107"/>
    <w:rsid w:val="00C14D4B"/>
    <w:rsid w:val="00C154BB"/>
    <w:rsid w:val="00C25C1E"/>
    <w:rsid w:val="00C279B5"/>
    <w:rsid w:val="00C27C45"/>
    <w:rsid w:val="00C3719D"/>
    <w:rsid w:val="00C37CB2"/>
    <w:rsid w:val="00C44953"/>
    <w:rsid w:val="00C473A5"/>
    <w:rsid w:val="00C47E47"/>
    <w:rsid w:val="00C51354"/>
    <w:rsid w:val="00C54995"/>
    <w:rsid w:val="00C54D41"/>
    <w:rsid w:val="00C56F4D"/>
    <w:rsid w:val="00C60783"/>
    <w:rsid w:val="00C624FB"/>
    <w:rsid w:val="00C62ECC"/>
    <w:rsid w:val="00C64672"/>
    <w:rsid w:val="00C70125"/>
    <w:rsid w:val="00C70697"/>
    <w:rsid w:val="00C72093"/>
    <w:rsid w:val="00C72EF4"/>
    <w:rsid w:val="00C744FE"/>
    <w:rsid w:val="00C75D2F"/>
    <w:rsid w:val="00C767BE"/>
    <w:rsid w:val="00C76E3C"/>
    <w:rsid w:val="00C81568"/>
    <w:rsid w:val="00C8434D"/>
    <w:rsid w:val="00C9027A"/>
    <w:rsid w:val="00C9068E"/>
    <w:rsid w:val="00C91EE5"/>
    <w:rsid w:val="00C93814"/>
    <w:rsid w:val="00C93C4B"/>
    <w:rsid w:val="00C944AB"/>
    <w:rsid w:val="00C95B40"/>
    <w:rsid w:val="00C962BE"/>
    <w:rsid w:val="00CA1878"/>
    <w:rsid w:val="00CA1E7A"/>
    <w:rsid w:val="00CA1ED8"/>
    <w:rsid w:val="00CA73A5"/>
    <w:rsid w:val="00CB0244"/>
    <w:rsid w:val="00CB1651"/>
    <w:rsid w:val="00CB1F63"/>
    <w:rsid w:val="00CB7170"/>
    <w:rsid w:val="00CB7559"/>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0A0"/>
    <w:rsid w:val="00D0349B"/>
    <w:rsid w:val="00D10249"/>
    <w:rsid w:val="00D115C3"/>
    <w:rsid w:val="00D11897"/>
    <w:rsid w:val="00D13135"/>
    <w:rsid w:val="00D13E4E"/>
    <w:rsid w:val="00D140C8"/>
    <w:rsid w:val="00D14E67"/>
    <w:rsid w:val="00D239A7"/>
    <w:rsid w:val="00D23F47"/>
    <w:rsid w:val="00D266B5"/>
    <w:rsid w:val="00D36E71"/>
    <w:rsid w:val="00D37D87"/>
    <w:rsid w:val="00D40B33"/>
    <w:rsid w:val="00D4318F"/>
    <w:rsid w:val="00D438BF"/>
    <w:rsid w:val="00D439AC"/>
    <w:rsid w:val="00D440F8"/>
    <w:rsid w:val="00D4721A"/>
    <w:rsid w:val="00D5331A"/>
    <w:rsid w:val="00D546FF"/>
    <w:rsid w:val="00D55AD5"/>
    <w:rsid w:val="00D576CA"/>
    <w:rsid w:val="00D612EB"/>
    <w:rsid w:val="00D617C0"/>
    <w:rsid w:val="00D61AF5"/>
    <w:rsid w:val="00D652B5"/>
    <w:rsid w:val="00D66155"/>
    <w:rsid w:val="00D708B0"/>
    <w:rsid w:val="00D74187"/>
    <w:rsid w:val="00D77B1D"/>
    <w:rsid w:val="00D8021F"/>
    <w:rsid w:val="00D80383"/>
    <w:rsid w:val="00D823C6"/>
    <w:rsid w:val="00D8327F"/>
    <w:rsid w:val="00D86CA3"/>
    <w:rsid w:val="00D871CE"/>
    <w:rsid w:val="00D91758"/>
    <w:rsid w:val="00D9196D"/>
    <w:rsid w:val="00D92982"/>
    <w:rsid w:val="00DA0F9D"/>
    <w:rsid w:val="00DA305E"/>
    <w:rsid w:val="00DA403B"/>
    <w:rsid w:val="00DA5417"/>
    <w:rsid w:val="00DA56E8"/>
    <w:rsid w:val="00DA5CAA"/>
    <w:rsid w:val="00DA7E8D"/>
    <w:rsid w:val="00DB0A9F"/>
    <w:rsid w:val="00DB377D"/>
    <w:rsid w:val="00DC270C"/>
    <w:rsid w:val="00DC2D36"/>
    <w:rsid w:val="00DC3B4B"/>
    <w:rsid w:val="00DC53EF"/>
    <w:rsid w:val="00DD3E3F"/>
    <w:rsid w:val="00DD4ECC"/>
    <w:rsid w:val="00DE5608"/>
    <w:rsid w:val="00DE58D0"/>
    <w:rsid w:val="00DE654F"/>
    <w:rsid w:val="00DF0B6E"/>
    <w:rsid w:val="00DF15E0"/>
    <w:rsid w:val="00DF356F"/>
    <w:rsid w:val="00DF37A0"/>
    <w:rsid w:val="00E0674A"/>
    <w:rsid w:val="00E076C3"/>
    <w:rsid w:val="00E110E7"/>
    <w:rsid w:val="00E11B20"/>
    <w:rsid w:val="00E17FA2"/>
    <w:rsid w:val="00E212FD"/>
    <w:rsid w:val="00E22330"/>
    <w:rsid w:val="00E24F0F"/>
    <w:rsid w:val="00E30B5A"/>
    <w:rsid w:val="00E3123D"/>
    <w:rsid w:val="00E31461"/>
    <w:rsid w:val="00E31D43"/>
    <w:rsid w:val="00E32608"/>
    <w:rsid w:val="00E34188"/>
    <w:rsid w:val="00E34B6E"/>
    <w:rsid w:val="00E35559"/>
    <w:rsid w:val="00E3723A"/>
    <w:rsid w:val="00E37860"/>
    <w:rsid w:val="00E446F1"/>
    <w:rsid w:val="00E46886"/>
    <w:rsid w:val="00E46F63"/>
    <w:rsid w:val="00E47AEF"/>
    <w:rsid w:val="00E525D1"/>
    <w:rsid w:val="00E53B75"/>
    <w:rsid w:val="00E54E3B"/>
    <w:rsid w:val="00E57565"/>
    <w:rsid w:val="00E60FDB"/>
    <w:rsid w:val="00E63838"/>
    <w:rsid w:val="00E64434"/>
    <w:rsid w:val="00E67C51"/>
    <w:rsid w:val="00E72EFC"/>
    <w:rsid w:val="00E758EC"/>
    <w:rsid w:val="00E81031"/>
    <w:rsid w:val="00E81B83"/>
    <w:rsid w:val="00E81F7F"/>
    <w:rsid w:val="00E8234C"/>
    <w:rsid w:val="00E83AA9"/>
    <w:rsid w:val="00E85928"/>
    <w:rsid w:val="00E87822"/>
    <w:rsid w:val="00E90395"/>
    <w:rsid w:val="00E9091F"/>
    <w:rsid w:val="00E90E49"/>
    <w:rsid w:val="00E917F9"/>
    <w:rsid w:val="00E9291C"/>
    <w:rsid w:val="00E93FFE"/>
    <w:rsid w:val="00E94F8A"/>
    <w:rsid w:val="00EA7A41"/>
    <w:rsid w:val="00EA7C68"/>
    <w:rsid w:val="00EB024B"/>
    <w:rsid w:val="00EB077B"/>
    <w:rsid w:val="00EB4EA2"/>
    <w:rsid w:val="00EB70E5"/>
    <w:rsid w:val="00EB7AEA"/>
    <w:rsid w:val="00EC24D5"/>
    <w:rsid w:val="00EC27C6"/>
    <w:rsid w:val="00EC4207"/>
    <w:rsid w:val="00EC5653"/>
    <w:rsid w:val="00EC71CE"/>
    <w:rsid w:val="00EC7C6F"/>
    <w:rsid w:val="00ED1006"/>
    <w:rsid w:val="00ED1E40"/>
    <w:rsid w:val="00ED4407"/>
    <w:rsid w:val="00ED7882"/>
    <w:rsid w:val="00EE31E2"/>
    <w:rsid w:val="00EF18FE"/>
    <w:rsid w:val="00EF5787"/>
    <w:rsid w:val="00EF60D0"/>
    <w:rsid w:val="00F0528D"/>
    <w:rsid w:val="00F062B6"/>
    <w:rsid w:val="00F06C67"/>
    <w:rsid w:val="00F06DFD"/>
    <w:rsid w:val="00F071D1"/>
    <w:rsid w:val="00F07533"/>
    <w:rsid w:val="00F10629"/>
    <w:rsid w:val="00F12C2D"/>
    <w:rsid w:val="00F13F66"/>
    <w:rsid w:val="00F15FA5"/>
    <w:rsid w:val="00F209B7"/>
    <w:rsid w:val="00F2376F"/>
    <w:rsid w:val="00F243D8"/>
    <w:rsid w:val="00F24A9B"/>
    <w:rsid w:val="00F24D77"/>
    <w:rsid w:val="00F30828"/>
    <w:rsid w:val="00F313D6"/>
    <w:rsid w:val="00F40F0C"/>
    <w:rsid w:val="00F41549"/>
    <w:rsid w:val="00F43754"/>
    <w:rsid w:val="00F4766C"/>
    <w:rsid w:val="00F5060E"/>
    <w:rsid w:val="00F507D1"/>
    <w:rsid w:val="00F50AFF"/>
    <w:rsid w:val="00F519A4"/>
    <w:rsid w:val="00F519CE"/>
    <w:rsid w:val="00F51ADA"/>
    <w:rsid w:val="00F535C4"/>
    <w:rsid w:val="00F543F8"/>
    <w:rsid w:val="00F60203"/>
    <w:rsid w:val="00F607C5"/>
    <w:rsid w:val="00F60DEA"/>
    <w:rsid w:val="00F6302A"/>
    <w:rsid w:val="00F63950"/>
    <w:rsid w:val="00F64C2B"/>
    <w:rsid w:val="00F651BE"/>
    <w:rsid w:val="00F6724E"/>
    <w:rsid w:val="00F67F53"/>
    <w:rsid w:val="00F703BE"/>
    <w:rsid w:val="00F71F69"/>
    <w:rsid w:val="00F72B72"/>
    <w:rsid w:val="00F74BB9"/>
    <w:rsid w:val="00F75582"/>
    <w:rsid w:val="00F76EFA"/>
    <w:rsid w:val="00F804BE"/>
    <w:rsid w:val="00F817CE"/>
    <w:rsid w:val="00F821DA"/>
    <w:rsid w:val="00F8456C"/>
    <w:rsid w:val="00F859D8"/>
    <w:rsid w:val="00F868F5"/>
    <w:rsid w:val="00F9056A"/>
    <w:rsid w:val="00F90F8D"/>
    <w:rsid w:val="00F92782"/>
    <w:rsid w:val="00F93AA9"/>
    <w:rsid w:val="00F96985"/>
    <w:rsid w:val="00F97838"/>
    <w:rsid w:val="00FA2BB3"/>
    <w:rsid w:val="00FA3C19"/>
    <w:rsid w:val="00FB4C80"/>
    <w:rsid w:val="00FB6A6A"/>
    <w:rsid w:val="00FC1818"/>
    <w:rsid w:val="00FC7429"/>
    <w:rsid w:val="00FD07F6"/>
    <w:rsid w:val="00FD1EC8"/>
    <w:rsid w:val="00FD28C4"/>
    <w:rsid w:val="00FD47ED"/>
    <w:rsid w:val="00FD74DB"/>
    <w:rsid w:val="00FD7660"/>
    <w:rsid w:val="00FE0655"/>
    <w:rsid w:val="00FE2365"/>
    <w:rsid w:val="00FE37D7"/>
    <w:rsid w:val="00FE4A61"/>
    <w:rsid w:val="00FE4C7B"/>
    <w:rsid w:val="00FE62F4"/>
    <w:rsid w:val="00FE7336"/>
    <w:rsid w:val="00FE787C"/>
    <w:rsid w:val="00FF2679"/>
    <w:rsid w:val="00FF45A5"/>
    <w:rsid w:val="00FF5C91"/>
    <w:rsid w:val="00FF7D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1054">
      <w:bodyDiv w:val="1"/>
      <w:marLeft w:val="0"/>
      <w:marRight w:val="0"/>
      <w:marTop w:val="0"/>
      <w:marBottom w:val="0"/>
      <w:divBdr>
        <w:top w:val="none" w:sz="0" w:space="0" w:color="auto"/>
        <w:left w:val="none" w:sz="0" w:space="0" w:color="auto"/>
        <w:bottom w:val="none" w:sz="0" w:space="0" w:color="auto"/>
        <w:right w:val="none" w:sz="0" w:space="0" w:color="auto"/>
      </w:divBdr>
    </w:div>
    <w:div w:id="241792280">
      <w:bodyDiv w:val="1"/>
      <w:marLeft w:val="0"/>
      <w:marRight w:val="0"/>
      <w:marTop w:val="0"/>
      <w:marBottom w:val="0"/>
      <w:divBdr>
        <w:top w:val="none" w:sz="0" w:space="0" w:color="auto"/>
        <w:left w:val="none" w:sz="0" w:space="0" w:color="auto"/>
        <w:bottom w:val="none" w:sz="0" w:space="0" w:color="auto"/>
        <w:right w:val="none" w:sz="0" w:space="0" w:color="auto"/>
      </w:divBdr>
    </w:div>
    <w:div w:id="349454884">
      <w:bodyDiv w:val="1"/>
      <w:marLeft w:val="0"/>
      <w:marRight w:val="0"/>
      <w:marTop w:val="0"/>
      <w:marBottom w:val="0"/>
      <w:divBdr>
        <w:top w:val="none" w:sz="0" w:space="0" w:color="auto"/>
        <w:left w:val="none" w:sz="0" w:space="0" w:color="auto"/>
        <w:bottom w:val="none" w:sz="0" w:space="0" w:color="auto"/>
        <w:right w:val="none" w:sz="0" w:space="0" w:color="auto"/>
      </w:divBdr>
    </w:div>
    <w:div w:id="572200996">
      <w:bodyDiv w:val="1"/>
      <w:marLeft w:val="0"/>
      <w:marRight w:val="0"/>
      <w:marTop w:val="0"/>
      <w:marBottom w:val="0"/>
      <w:divBdr>
        <w:top w:val="none" w:sz="0" w:space="0" w:color="auto"/>
        <w:left w:val="none" w:sz="0" w:space="0" w:color="auto"/>
        <w:bottom w:val="none" w:sz="0" w:space="0" w:color="auto"/>
        <w:right w:val="none" w:sz="0" w:space="0" w:color="auto"/>
      </w:divBdr>
    </w:div>
    <w:div w:id="1025323558">
      <w:bodyDiv w:val="1"/>
      <w:marLeft w:val="0"/>
      <w:marRight w:val="0"/>
      <w:marTop w:val="0"/>
      <w:marBottom w:val="0"/>
      <w:divBdr>
        <w:top w:val="none" w:sz="0" w:space="0" w:color="auto"/>
        <w:left w:val="none" w:sz="0" w:space="0" w:color="auto"/>
        <w:bottom w:val="none" w:sz="0" w:space="0" w:color="auto"/>
        <w:right w:val="none" w:sz="0" w:space="0" w:color="auto"/>
      </w:divBdr>
    </w:div>
    <w:div w:id="1188906471">
      <w:bodyDiv w:val="1"/>
      <w:marLeft w:val="0"/>
      <w:marRight w:val="0"/>
      <w:marTop w:val="0"/>
      <w:marBottom w:val="0"/>
      <w:divBdr>
        <w:top w:val="none" w:sz="0" w:space="0" w:color="auto"/>
        <w:left w:val="none" w:sz="0" w:space="0" w:color="auto"/>
        <w:bottom w:val="none" w:sz="0" w:space="0" w:color="auto"/>
        <w:right w:val="none" w:sz="0" w:space="0" w:color="auto"/>
      </w:divBdr>
    </w:div>
    <w:div w:id="1376464415">
      <w:bodyDiv w:val="1"/>
      <w:marLeft w:val="0"/>
      <w:marRight w:val="0"/>
      <w:marTop w:val="0"/>
      <w:marBottom w:val="0"/>
      <w:divBdr>
        <w:top w:val="none" w:sz="0" w:space="0" w:color="auto"/>
        <w:left w:val="none" w:sz="0" w:space="0" w:color="auto"/>
        <w:bottom w:val="none" w:sz="0" w:space="0" w:color="auto"/>
        <w:right w:val="none" w:sz="0" w:space="0" w:color="auto"/>
      </w:divBdr>
    </w:div>
    <w:div w:id="1419865521">
      <w:bodyDiv w:val="1"/>
      <w:marLeft w:val="0"/>
      <w:marRight w:val="0"/>
      <w:marTop w:val="0"/>
      <w:marBottom w:val="0"/>
      <w:divBdr>
        <w:top w:val="none" w:sz="0" w:space="0" w:color="auto"/>
        <w:left w:val="none" w:sz="0" w:space="0" w:color="auto"/>
        <w:bottom w:val="none" w:sz="0" w:space="0" w:color="auto"/>
        <w:right w:val="none" w:sz="0" w:space="0" w:color="auto"/>
      </w:divBdr>
    </w:div>
    <w:div w:id="1601255333">
      <w:bodyDiv w:val="1"/>
      <w:marLeft w:val="0"/>
      <w:marRight w:val="0"/>
      <w:marTop w:val="0"/>
      <w:marBottom w:val="0"/>
      <w:divBdr>
        <w:top w:val="none" w:sz="0" w:space="0" w:color="auto"/>
        <w:left w:val="none" w:sz="0" w:space="0" w:color="auto"/>
        <w:bottom w:val="none" w:sz="0" w:space="0" w:color="auto"/>
        <w:right w:val="none" w:sz="0" w:space="0" w:color="auto"/>
      </w:divBdr>
    </w:div>
    <w:div w:id="210700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a9928c3102d946676a96e5c44f6970f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d511ba4eb58f2c57357b1b9e447abcf"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9BE93-30C8-4426-BFF7-7FC13D57F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014F-6E9F-49D8-8FC7-46D0208E16C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C91ECA7-BE8A-4320-8D92-3187214D2F9D}">
  <ds:schemaRefs>
    <ds:schemaRef ds:uri="http://schemas.microsoft.com/sharepoint/v3/contenttype/forms"/>
  </ds:schemaRefs>
</ds:datastoreItem>
</file>

<file path=customXml/itemProps4.xml><?xml version="1.0" encoding="utf-8"?>
<ds:datastoreItem xmlns:ds="http://schemas.openxmlformats.org/officeDocument/2006/customXml" ds:itemID="{45BFC2CD-529E-4388-BCC8-46F3FF1D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134</TotalTime>
  <Pages>10</Pages>
  <Words>3662</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130</cp:revision>
  <cp:lastPrinted>2008-01-31T07:09:00Z</cp:lastPrinted>
  <dcterms:created xsi:type="dcterms:W3CDTF">2019-08-15T20:09:00Z</dcterms:created>
  <dcterms:modified xsi:type="dcterms:W3CDTF">2019-08-17T07:48:00Z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